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C4E" w:rsidRPr="008A3453" w:rsidRDefault="00652C4E" w:rsidP="00652C4E">
      <w:pPr>
        <w:jc w:val="center"/>
        <w:rPr>
          <w:rFonts w:cs="Times New Roman"/>
          <w:b/>
        </w:rPr>
      </w:pPr>
      <w:bookmarkStart w:id="0" w:name="_GoBack"/>
      <w:bookmarkEnd w:id="0"/>
      <w:r w:rsidRPr="008A3453">
        <w:rPr>
          <w:rFonts w:cs="Times New Roman"/>
          <w:b/>
        </w:rPr>
        <w:t xml:space="preserve">Minutes from the WVSU Faculty Senate Meeting on </w:t>
      </w:r>
      <w:r w:rsidR="003B27F2">
        <w:rPr>
          <w:rFonts w:cs="Times New Roman"/>
          <w:b/>
        </w:rPr>
        <w:t xml:space="preserve">Friday, </w:t>
      </w:r>
      <w:r w:rsidR="000B4072">
        <w:rPr>
          <w:rFonts w:cs="Times New Roman"/>
          <w:b/>
        </w:rPr>
        <w:t>April 3</w:t>
      </w:r>
      <w:r w:rsidR="00267586">
        <w:rPr>
          <w:rFonts w:cs="Times New Roman"/>
          <w:b/>
        </w:rPr>
        <w:t>, 2020</w:t>
      </w:r>
    </w:p>
    <w:p w:rsidR="00652C4E" w:rsidRPr="008A3453" w:rsidRDefault="000B4072" w:rsidP="00652C4E">
      <w:pPr>
        <w:jc w:val="center"/>
        <w:rPr>
          <w:rFonts w:cs="Times New Roman"/>
          <w:b/>
        </w:rPr>
      </w:pPr>
      <w:r>
        <w:rPr>
          <w:rFonts w:cs="Times New Roman"/>
          <w:b/>
        </w:rPr>
        <w:t>Video Conference Call using Zoom</w:t>
      </w:r>
      <w:r w:rsidR="00652C4E" w:rsidRPr="008A3453">
        <w:rPr>
          <w:rFonts w:cs="Times New Roman"/>
          <w:b/>
        </w:rPr>
        <w:t>, 1:30 pm</w:t>
      </w:r>
    </w:p>
    <w:p w:rsidR="00652C4E" w:rsidRPr="008A3453" w:rsidRDefault="00652C4E" w:rsidP="00652C4E">
      <w:pPr>
        <w:rPr>
          <w:rFonts w:cs="Times New Roman"/>
        </w:rPr>
      </w:pPr>
    </w:p>
    <w:p w:rsidR="00652C4E" w:rsidRPr="008A3453" w:rsidRDefault="00652C4E" w:rsidP="00652C4E">
      <w:pPr>
        <w:rPr>
          <w:rFonts w:cs="Times New Roman"/>
          <w:b/>
          <w:u w:val="single"/>
        </w:rPr>
      </w:pPr>
      <w:r w:rsidRPr="008A3453">
        <w:rPr>
          <w:rFonts w:cs="Times New Roman"/>
          <w:b/>
          <w:u w:val="single"/>
        </w:rPr>
        <w:t>Attendance:</w:t>
      </w:r>
    </w:p>
    <w:p w:rsidR="00652C4E" w:rsidRPr="008A3453" w:rsidRDefault="00652C4E" w:rsidP="00652C4E">
      <w:pPr>
        <w:rPr>
          <w:rFonts w:cs="Times New Roman"/>
        </w:rPr>
      </w:pPr>
    </w:p>
    <w:p w:rsidR="00E54F2E" w:rsidRPr="001377B5" w:rsidRDefault="00652C4E" w:rsidP="00652C4E">
      <w:pPr>
        <w:rPr>
          <w:rFonts w:cs="Times New Roman"/>
        </w:rPr>
      </w:pPr>
      <w:r w:rsidRPr="001377B5">
        <w:rPr>
          <w:rFonts w:cs="Times New Roman"/>
        </w:rPr>
        <w:t xml:space="preserve">A&amp;H – D. Johnson (secretary), </w:t>
      </w:r>
      <w:r w:rsidR="00740664" w:rsidRPr="001377B5">
        <w:rPr>
          <w:rFonts w:cs="Times New Roman"/>
        </w:rPr>
        <w:t>J. Barnes-</w:t>
      </w:r>
      <w:proofErr w:type="spellStart"/>
      <w:r w:rsidR="00740664" w:rsidRPr="001377B5">
        <w:rPr>
          <w:rFonts w:cs="Times New Roman"/>
        </w:rPr>
        <w:t>Pietruszynski</w:t>
      </w:r>
      <w:proofErr w:type="spellEnd"/>
      <w:r w:rsidR="00740664" w:rsidRPr="001377B5">
        <w:rPr>
          <w:rFonts w:cs="Times New Roman"/>
        </w:rPr>
        <w:t xml:space="preserve"> (Vice-Chair)</w:t>
      </w:r>
      <w:r w:rsidR="001377B5">
        <w:rPr>
          <w:rFonts w:cs="Times New Roman"/>
        </w:rPr>
        <w:t>, C. Clark</w:t>
      </w:r>
      <w:r w:rsidR="00740664" w:rsidRPr="001377B5">
        <w:rPr>
          <w:rFonts w:cs="Times New Roman"/>
        </w:rPr>
        <w:t xml:space="preserve">; </w:t>
      </w:r>
      <w:r w:rsidRPr="001377B5">
        <w:rPr>
          <w:rFonts w:cs="Times New Roman"/>
        </w:rPr>
        <w:t>BSS –</w:t>
      </w:r>
      <w:r w:rsidR="001377B5" w:rsidRPr="001377B5">
        <w:rPr>
          <w:rFonts w:cs="Times New Roman"/>
        </w:rPr>
        <w:t xml:space="preserve"> </w:t>
      </w:r>
      <w:r w:rsidR="008246FD" w:rsidRPr="001377B5">
        <w:rPr>
          <w:rFonts w:cs="Times New Roman"/>
        </w:rPr>
        <w:t>M. Workman</w:t>
      </w:r>
      <w:r w:rsidRPr="001377B5">
        <w:rPr>
          <w:rFonts w:cs="Times New Roman"/>
        </w:rPr>
        <w:t>; NSM – R. Ford (chair</w:t>
      </w:r>
      <w:r w:rsidR="00E57403" w:rsidRPr="001377B5">
        <w:rPr>
          <w:rFonts w:cs="Times New Roman"/>
        </w:rPr>
        <w:t>)</w:t>
      </w:r>
      <w:r w:rsidR="00FE0547" w:rsidRPr="001377B5">
        <w:rPr>
          <w:rFonts w:cs="Times New Roman"/>
        </w:rPr>
        <w:t xml:space="preserve">, </w:t>
      </w:r>
      <w:r w:rsidR="00B44571" w:rsidRPr="001377B5">
        <w:rPr>
          <w:rFonts w:cs="Times New Roman"/>
        </w:rPr>
        <w:t>M</w:t>
      </w:r>
      <w:r w:rsidR="00310E12" w:rsidRPr="001377B5">
        <w:rPr>
          <w:rFonts w:cs="Times New Roman"/>
        </w:rPr>
        <w:t xml:space="preserve">. </w:t>
      </w:r>
      <w:proofErr w:type="spellStart"/>
      <w:r w:rsidR="00B44571" w:rsidRPr="001377B5">
        <w:rPr>
          <w:rFonts w:cs="Times New Roman"/>
        </w:rPr>
        <w:t>Bhuiyan</w:t>
      </w:r>
      <w:proofErr w:type="spellEnd"/>
      <w:r w:rsidR="008246FD" w:rsidRPr="001377B5">
        <w:rPr>
          <w:rFonts w:cs="Times New Roman"/>
        </w:rPr>
        <w:t>, M. Fultz</w:t>
      </w:r>
      <w:r w:rsidR="00886BDA" w:rsidRPr="001377B5">
        <w:rPr>
          <w:rFonts w:cs="Times New Roman"/>
        </w:rPr>
        <w:t xml:space="preserve">, T. </w:t>
      </w:r>
      <w:proofErr w:type="spellStart"/>
      <w:r w:rsidR="00886BDA" w:rsidRPr="001377B5">
        <w:rPr>
          <w:rFonts w:cs="Times New Roman"/>
        </w:rPr>
        <w:t>Ruhnke</w:t>
      </w:r>
      <w:proofErr w:type="spellEnd"/>
      <w:r w:rsidRPr="001377B5">
        <w:rPr>
          <w:rFonts w:cs="Times New Roman"/>
        </w:rPr>
        <w:t xml:space="preserve">; </w:t>
      </w:r>
      <w:r w:rsidR="00F00FB4" w:rsidRPr="001377B5">
        <w:rPr>
          <w:rFonts w:cs="Times New Roman"/>
        </w:rPr>
        <w:t xml:space="preserve">PS </w:t>
      </w:r>
      <w:r w:rsidR="00C10C33" w:rsidRPr="001377B5">
        <w:rPr>
          <w:rFonts w:cs="Times New Roman"/>
        </w:rPr>
        <w:t>–</w:t>
      </w:r>
      <w:r w:rsidR="00B44571" w:rsidRPr="001377B5">
        <w:rPr>
          <w:rFonts w:cs="Times New Roman"/>
        </w:rPr>
        <w:t xml:space="preserve"> L. Good</w:t>
      </w:r>
      <w:r w:rsidR="00740664" w:rsidRPr="001377B5">
        <w:rPr>
          <w:rFonts w:cs="Times New Roman"/>
        </w:rPr>
        <w:t>, L. Davidson</w:t>
      </w:r>
      <w:r w:rsidR="00C10C33" w:rsidRPr="001377B5">
        <w:rPr>
          <w:rFonts w:cs="Times New Roman"/>
        </w:rPr>
        <w:t xml:space="preserve">; LC – </w:t>
      </w:r>
      <w:r w:rsidR="00FE0547" w:rsidRPr="001377B5">
        <w:rPr>
          <w:rFonts w:cs="Times New Roman"/>
        </w:rPr>
        <w:t>M. Casey</w:t>
      </w:r>
      <w:r w:rsidR="008246FD" w:rsidRPr="001377B5">
        <w:rPr>
          <w:rFonts w:cs="Times New Roman"/>
        </w:rPr>
        <w:t>, D. Wells</w:t>
      </w:r>
      <w:r w:rsidRPr="001377B5">
        <w:rPr>
          <w:rFonts w:cs="Times New Roman"/>
        </w:rPr>
        <w:t xml:space="preserve">; </w:t>
      </w:r>
      <w:r w:rsidR="00C10C33" w:rsidRPr="001377B5">
        <w:rPr>
          <w:rFonts w:cs="Times New Roman"/>
        </w:rPr>
        <w:t xml:space="preserve">ACF – </w:t>
      </w:r>
      <w:r w:rsidR="009944A3" w:rsidRPr="001377B5">
        <w:rPr>
          <w:rFonts w:cs="Times New Roman"/>
        </w:rPr>
        <w:t>B. Ladner</w:t>
      </w:r>
      <w:r w:rsidR="00740664" w:rsidRPr="001377B5">
        <w:rPr>
          <w:rFonts w:cs="Times New Roman"/>
        </w:rPr>
        <w:t xml:space="preserve">, </w:t>
      </w:r>
      <w:r w:rsidR="00F00FB4" w:rsidRPr="001377B5">
        <w:rPr>
          <w:rFonts w:cs="Times New Roman"/>
        </w:rPr>
        <w:t xml:space="preserve">BOG – </w:t>
      </w:r>
      <w:r w:rsidR="00740664" w:rsidRPr="001377B5">
        <w:rPr>
          <w:rFonts w:cs="Times New Roman"/>
        </w:rPr>
        <w:t xml:space="preserve">F. Vaughan </w:t>
      </w:r>
    </w:p>
    <w:p w:rsidR="00E54F2E" w:rsidRPr="001377B5" w:rsidRDefault="00E54F2E" w:rsidP="00652C4E">
      <w:pPr>
        <w:rPr>
          <w:rFonts w:cs="Times New Roman"/>
        </w:rPr>
      </w:pPr>
    </w:p>
    <w:p w:rsidR="00E54F2E" w:rsidRPr="001377B5" w:rsidRDefault="00265A52" w:rsidP="00652C4E">
      <w:pPr>
        <w:rPr>
          <w:rFonts w:cs="Times New Roman"/>
        </w:rPr>
      </w:pPr>
      <w:r w:rsidRPr="001377B5">
        <w:rPr>
          <w:rFonts w:cs="Times New Roman"/>
        </w:rPr>
        <w:t>Visiting</w:t>
      </w:r>
      <w:r w:rsidR="00652C4E" w:rsidRPr="001377B5">
        <w:rPr>
          <w:rFonts w:cs="Times New Roman"/>
        </w:rPr>
        <w:t xml:space="preserve"> –</w:t>
      </w:r>
      <w:r w:rsidR="00BF4C41" w:rsidRPr="001377B5">
        <w:rPr>
          <w:rFonts w:cs="Times New Roman"/>
        </w:rPr>
        <w:t xml:space="preserve"> </w:t>
      </w:r>
      <w:r w:rsidR="008246FD" w:rsidRPr="001377B5">
        <w:rPr>
          <w:rFonts w:cs="Times New Roman"/>
        </w:rPr>
        <w:t>A. Settle</w:t>
      </w:r>
      <w:r w:rsidR="00886BDA" w:rsidRPr="001377B5">
        <w:rPr>
          <w:rFonts w:cs="Times New Roman"/>
        </w:rPr>
        <w:t xml:space="preserve">, </w:t>
      </w:r>
      <w:r w:rsidR="008246FD" w:rsidRPr="001377B5">
        <w:rPr>
          <w:rFonts w:cs="Times New Roman"/>
        </w:rPr>
        <w:t xml:space="preserve">M. Wilson, </w:t>
      </w:r>
      <w:r w:rsidR="004578A9" w:rsidRPr="001377B5">
        <w:rPr>
          <w:rFonts w:cs="Times New Roman"/>
        </w:rPr>
        <w:t xml:space="preserve">A. </w:t>
      </w:r>
      <w:proofErr w:type="spellStart"/>
      <w:r w:rsidR="004578A9" w:rsidRPr="001377B5">
        <w:rPr>
          <w:rFonts w:cs="Times New Roman"/>
        </w:rPr>
        <w:t>Bejou</w:t>
      </w:r>
      <w:proofErr w:type="spellEnd"/>
      <w:r w:rsidR="004578A9" w:rsidRPr="001377B5">
        <w:rPr>
          <w:rFonts w:cs="Times New Roman"/>
        </w:rPr>
        <w:t xml:space="preserve">, </w:t>
      </w:r>
      <w:r w:rsidR="00740664" w:rsidRPr="001377B5">
        <w:rPr>
          <w:rFonts w:cs="Times New Roman"/>
        </w:rPr>
        <w:t>K. Harper</w:t>
      </w:r>
      <w:r w:rsidR="001377B5">
        <w:rPr>
          <w:rFonts w:cs="Times New Roman"/>
        </w:rPr>
        <w:t xml:space="preserve"> (Exec. at-large)</w:t>
      </w:r>
      <w:r w:rsidR="00886BDA" w:rsidRPr="001377B5">
        <w:rPr>
          <w:rFonts w:cs="Times New Roman"/>
        </w:rPr>
        <w:t>, A. Smith</w:t>
      </w:r>
      <w:r w:rsidR="001377B5">
        <w:rPr>
          <w:rFonts w:cs="Times New Roman"/>
        </w:rPr>
        <w:t>, T. Kiddi</w:t>
      </w:r>
      <w:r w:rsidR="00886BDA" w:rsidRPr="001377B5">
        <w:rPr>
          <w:rFonts w:cs="Times New Roman"/>
        </w:rPr>
        <w:t>e</w:t>
      </w:r>
      <w:r w:rsidR="001377B5">
        <w:rPr>
          <w:rFonts w:cs="Times New Roman"/>
        </w:rPr>
        <w:t xml:space="preserve"> (Exec. at-large), Colleen Miller (SGA)</w:t>
      </w:r>
      <w:r w:rsidR="00D874F0">
        <w:rPr>
          <w:rFonts w:cs="Times New Roman"/>
        </w:rPr>
        <w:t xml:space="preserve">, </w:t>
      </w:r>
      <w:r w:rsidR="00D874F0">
        <w:t xml:space="preserve">G. </w:t>
      </w:r>
      <w:proofErr w:type="spellStart"/>
      <w:r w:rsidR="00D874F0">
        <w:t>Palubinskas</w:t>
      </w:r>
      <w:proofErr w:type="spellEnd"/>
    </w:p>
    <w:p w:rsidR="00F00FB4" w:rsidRPr="001377B5" w:rsidRDefault="00652C4E" w:rsidP="00652C4E">
      <w:pPr>
        <w:rPr>
          <w:rFonts w:cs="Times New Roman"/>
        </w:rPr>
      </w:pPr>
      <w:r w:rsidRPr="001377B5">
        <w:rPr>
          <w:rFonts w:cs="Times New Roman"/>
        </w:rPr>
        <w:t>Deans –</w:t>
      </w:r>
      <w:r w:rsidR="00C10C33" w:rsidRPr="001377B5">
        <w:rPr>
          <w:rFonts w:cs="Times New Roman"/>
        </w:rPr>
        <w:t xml:space="preserve"> N. Zaman (NSM), Rob Wallace (A&amp;H)</w:t>
      </w:r>
      <w:r w:rsidR="00886BDA" w:rsidRPr="001377B5">
        <w:rPr>
          <w:rFonts w:cs="Times New Roman"/>
        </w:rPr>
        <w:t>, P. Carney (PS)</w:t>
      </w:r>
    </w:p>
    <w:p w:rsidR="00EE0AA4" w:rsidRDefault="00EE0AA4"/>
    <w:p w:rsidR="001377B5" w:rsidRPr="001377B5" w:rsidRDefault="001377B5" w:rsidP="00CA799F">
      <w:pPr>
        <w:rPr>
          <w:i/>
        </w:rPr>
      </w:pPr>
      <w:r w:rsidRPr="001377B5">
        <w:rPr>
          <w:i/>
        </w:rPr>
        <w:t>The following meeting was conducted by video conference call using Zoom, due to COVID-19 social distancing restrictions. Roll was taken via the participants list on the Zoom software.</w:t>
      </w:r>
    </w:p>
    <w:p w:rsidR="002063C7" w:rsidRDefault="001377B5" w:rsidP="00CA799F">
      <w:r>
        <w:t xml:space="preserve"> </w:t>
      </w:r>
    </w:p>
    <w:p w:rsidR="00CF71DA" w:rsidRDefault="002A4287" w:rsidP="00CA799F">
      <w:r>
        <w:t>1.</w:t>
      </w:r>
      <w:r w:rsidR="00CA799F">
        <w:t xml:space="preserve"> </w:t>
      </w:r>
      <w:r w:rsidR="002679C6">
        <w:t xml:space="preserve">T. </w:t>
      </w:r>
      <w:proofErr w:type="spellStart"/>
      <w:r w:rsidR="002679C6">
        <w:t>Ruhnke</w:t>
      </w:r>
      <w:proofErr w:type="spellEnd"/>
      <w:r w:rsidR="002679C6">
        <w:t xml:space="preserve"> moved and </w:t>
      </w:r>
      <w:r w:rsidR="00CF71DA">
        <w:t xml:space="preserve">M. Fultz </w:t>
      </w:r>
      <w:r w:rsidR="002679C6">
        <w:t>seconded the approval of the minutes. The motion carried by voice vote.</w:t>
      </w:r>
    </w:p>
    <w:p w:rsidR="002679C6" w:rsidRDefault="002679C6" w:rsidP="00CA799F"/>
    <w:p w:rsidR="002679C6" w:rsidRDefault="002679C6" w:rsidP="00CA799F">
      <w:r>
        <w:t xml:space="preserve">2. </w:t>
      </w:r>
      <w:r w:rsidR="001377B5">
        <w:t>It was suggested to m</w:t>
      </w:r>
      <w:r>
        <w:t xml:space="preserve">ove </w:t>
      </w:r>
      <w:r w:rsidR="001377B5">
        <w:t xml:space="preserve">the </w:t>
      </w:r>
      <w:r>
        <w:t xml:space="preserve">SGA </w:t>
      </w:r>
      <w:r w:rsidR="001377B5">
        <w:t xml:space="preserve">report </w:t>
      </w:r>
      <w:r>
        <w:t>to the beginning</w:t>
      </w:r>
      <w:r w:rsidR="001377B5">
        <w:t xml:space="preserve"> of the meeting</w:t>
      </w:r>
      <w:r>
        <w:t xml:space="preserve">, and the 2 </w:t>
      </w:r>
      <w:r w:rsidR="001377B5">
        <w:t xml:space="preserve">formal </w:t>
      </w:r>
      <w:r>
        <w:t xml:space="preserve">resolutions up on the agenda. M. Fultz requested </w:t>
      </w:r>
      <w:r w:rsidR="001377B5">
        <w:t xml:space="preserve">a </w:t>
      </w:r>
      <w:r>
        <w:t>faculty senate awards</w:t>
      </w:r>
      <w:r w:rsidR="001377B5">
        <w:t xml:space="preserve"> update be added to the agenda</w:t>
      </w:r>
      <w:r>
        <w:t xml:space="preserve">. M. Workman suggested limiting the list </w:t>
      </w:r>
      <w:r w:rsidR="001377B5">
        <w:t xml:space="preserve">of agenda items </w:t>
      </w:r>
      <w:r>
        <w:t>to the essential</w:t>
      </w:r>
      <w:r w:rsidR="001377B5">
        <w:t>, given the online format</w:t>
      </w:r>
      <w:r>
        <w:t>. F. Vaughan said he would se</w:t>
      </w:r>
      <w:r w:rsidR="001377B5">
        <w:t>nd an email in place of an oral</w:t>
      </w:r>
      <w:r>
        <w:t xml:space="preserve"> report. B. Ladner moved and T. </w:t>
      </w:r>
      <w:proofErr w:type="spellStart"/>
      <w:r>
        <w:t>Ruhnke</w:t>
      </w:r>
      <w:proofErr w:type="spellEnd"/>
      <w:r>
        <w:t xml:space="preserve"> seconded approval of agenda with suggested changes. The motion carried by voice vote.</w:t>
      </w:r>
    </w:p>
    <w:p w:rsidR="002679C6" w:rsidRDefault="002679C6" w:rsidP="00CA799F"/>
    <w:p w:rsidR="00D874F0" w:rsidRDefault="002679C6" w:rsidP="00CA799F">
      <w:r>
        <w:t xml:space="preserve">3. SGA </w:t>
      </w:r>
      <w:r>
        <w:rPr>
          <w:rFonts w:cs="Times New Roman"/>
        </w:rPr>
        <w:t>–</w:t>
      </w:r>
      <w:r>
        <w:t xml:space="preserve"> 1) Thank you for cont</w:t>
      </w:r>
      <w:r w:rsidR="001377B5">
        <w:t>inued efforts; 2) Please offer students your understanding during the current coronavirus challenges</w:t>
      </w:r>
      <w:r w:rsidR="00D874F0">
        <w:t>;</w:t>
      </w:r>
      <w:r>
        <w:t xml:space="preserve"> 3) Proctoring exams need payment in online</w:t>
      </w:r>
      <w:r w:rsidR="001377B5">
        <w:t xml:space="preserve"> cases, so Zoom was suggested; 4)</w:t>
      </w:r>
      <w:r>
        <w:t xml:space="preserve"> Reach out to students </w:t>
      </w:r>
      <w:r w:rsidR="00D874F0">
        <w:t>whose work you see dipping down;</w:t>
      </w:r>
      <w:r>
        <w:t xml:space="preserve"> 5) SG</w:t>
      </w:r>
      <w:r w:rsidR="00D874F0">
        <w:t>A is sending tutoring links out;</w:t>
      </w:r>
      <w:r>
        <w:t xml:space="preserve"> 6) SGA</w:t>
      </w:r>
      <w:r w:rsidR="00D874F0">
        <w:t xml:space="preserve"> is</w:t>
      </w:r>
      <w:r>
        <w:t xml:space="preserve"> also working on </w:t>
      </w:r>
      <w:r w:rsidR="00D874F0">
        <w:t xml:space="preserve">a </w:t>
      </w:r>
      <w:r>
        <w:t>coronav</w:t>
      </w:r>
      <w:r w:rsidR="00D874F0">
        <w:t>irus fund to help those in need; 6) Census participation;</w:t>
      </w:r>
      <w:r>
        <w:t xml:space="preserve"> 7) </w:t>
      </w:r>
      <w:r w:rsidR="00D874F0">
        <w:t>They are w</w:t>
      </w:r>
      <w:r>
        <w:t>aiting on</w:t>
      </w:r>
      <w:r w:rsidR="00D874F0">
        <w:t xml:space="preserve"> the administration to announce</w:t>
      </w:r>
      <w:r>
        <w:t xml:space="preserve"> student fee refunds </w:t>
      </w:r>
      <w:proofErr w:type="spellStart"/>
      <w:r>
        <w:t>algorhythm</w:t>
      </w:r>
      <w:proofErr w:type="spellEnd"/>
      <w:r>
        <w:t xml:space="preserve">. </w:t>
      </w:r>
    </w:p>
    <w:p w:rsidR="00D874F0" w:rsidRDefault="00D874F0" w:rsidP="00CA799F"/>
    <w:p w:rsidR="002679C6" w:rsidRDefault="002679C6" w:rsidP="00CA799F">
      <w:r>
        <w:t>B. Ladner expressed that they were doing a great job. F. Vaughan asked for student response to</w:t>
      </w:r>
      <w:r w:rsidR="00D874F0">
        <w:t xml:space="preserve"> administration in the moment. A p</w:t>
      </w:r>
      <w:r>
        <w:t xml:space="preserve">etition for </w:t>
      </w:r>
      <w:r w:rsidR="00D874F0">
        <w:t xml:space="preserve">a </w:t>
      </w:r>
      <w:r>
        <w:t>pass/fail system was out there, but SGA didn’t take that up. Marshall has made it an optional pass/fail. They ha</w:t>
      </w:r>
      <w:r w:rsidR="00D874F0">
        <w:t>ve</w:t>
      </w:r>
      <w:r>
        <w:t xml:space="preserve">n’t heard much from the administration. She emailed him and </w:t>
      </w:r>
      <w:r w:rsidR="00D874F0">
        <w:t xml:space="preserve">it </w:t>
      </w:r>
      <w:r>
        <w:t>took 48 hours for a response. There is frustration wi</w:t>
      </w:r>
      <w:r w:rsidR="00D874F0">
        <w:t>th the lack of communication. Pres. Jenkins</w:t>
      </w:r>
      <w:r>
        <w:t xml:space="preserve"> did respond to a request for a video. Reach out fr</w:t>
      </w:r>
      <w:r w:rsidR="00D874F0">
        <w:t>om faculty has been appreciated, so keep doing it</w:t>
      </w:r>
      <w:r>
        <w:t xml:space="preserve">. B. Lander asked about hearing of serious internet issues. She has heard a few. </w:t>
      </w:r>
      <w:proofErr w:type="spellStart"/>
      <w:r>
        <w:t>Suddenlink</w:t>
      </w:r>
      <w:proofErr w:type="spellEnd"/>
      <w:r>
        <w:t xml:space="preserve"> has offer</w:t>
      </w:r>
      <w:r w:rsidR="00D874F0">
        <w:t>ed a free 3 months, as well as S</w:t>
      </w:r>
      <w:r>
        <w:t xml:space="preserve">pectrum, so </w:t>
      </w:r>
      <w:r w:rsidR="00D874F0">
        <w:t xml:space="preserve">she </w:t>
      </w:r>
      <w:r>
        <w:t>sent them there. Two students couldn’t get laptops</w:t>
      </w:r>
      <w:r w:rsidR="00D874F0">
        <w:t xml:space="preserve"> from their dorm rooms</w:t>
      </w:r>
      <w:r>
        <w:t>, a</w:t>
      </w:r>
      <w:r w:rsidR="00D874F0">
        <w:t>nd a few were frustrated the l</w:t>
      </w:r>
      <w:r>
        <w:t xml:space="preserve">ibrary was closed. She’s keeping an eye </w:t>
      </w:r>
      <w:r w:rsidR="002063C7">
        <w:t xml:space="preserve">on Facebook, but no other emailed issues. M. </w:t>
      </w:r>
      <w:proofErr w:type="spellStart"/>
      <w:r w:rsidR="002063C7">
        <w:t>Bhuiyan</w:t>
      </w:r>
      <w:proofErr w:type="spellEnd"/>
      <w:r w:rsidR="002063C7">
        <w:t xml:space="preserve"> found that there are 10 studen</w:t>
      </w:r>
      <w:r w:rsidR="00D874F0">
        <w:t>t</w:t>
      </w:r>
      <w:r w:rsidR="002063C7">
        <w:t xml:space="preserve">s who didn’t even enter Moodle to look at videos, etc., and </w:t>
      </w:r>
      <w:r w:rsidR="00D874F0">
        <w:t>haven’t responded to multiple emails. K. H</w:t>
      </w:r>
      <w:r w:rsidR="002063C7">
        <w:t>arper said that’s the case</w:t>
      </w:r>
      <w:r w:rsidR="00D874F0">
        <w:t xml:space="preserve"> for her, as well</w:t>
      </w:r>
      <w:r w:rsidR="002063C7">
        <w:t>, esp</w:t>
      </w:r>
      <w:r w:rsidR="00D874F0">
        <w:t>ecially in I</w:t>
      </w:r>
      <w:r w:rsidR="002063C7">
        <w:t xml:space="preserve">ntro </w:t>
      </w:r>
      <w:r w:rsidR="00D874F0">
        <w:t>to B</w:t>
      </w:r>
      <w:r w:rsidR="002063C7">
        <w:t xml:space="preserve">io, and G. </w:t>
      </w:r>
      <w:proofErr w:type="spellStart"/>
      <w:r w:rsidR="002063C7">
        <w:t>Palubinskas</w:t>
      </w:r>
      <w:proofErr w:type="spellEnd"/>
      <w:r w:rsidR="002063C7">
        <w:t xml:space="preserve"> said she sees this mostly from students who had quit coming</w:t>
      </w:r>
      <w:r w:rsidR="00D874F0">
        <w:t xml:space="preserve"> before the coronavirus issues</w:t>
      </w:r>
      <w:r w:rsidR="002063C7">
        <w:t xml:space="preserve">. Do students know they can still withdraw? Colleen said just keep trying to reach out, maybe trying personal information. </w:t>
      </w:r>
      <w:r w:rsidR="00D874F0">
        <w:t xml:space="preserve">We can contact her at </w:t>
      </w:r>
      <w:r w:rsidR="002063C7">
        <w:t>SGA@wvstateu.edu.</w:t>
      </w:r>
    </w:p>
    <w:p w:rsidR="002063C7" w:rsidRDefault="002063C7" w:rsidP="00CA799F"/>
    <w:p w:rsidR="002063C7" w:rsidRDefault="002063C7" w:rsidP="00CA799F">
      <w:r>
        <w:lastRenderedPageBreak/>
        <w:t xml:space="preserve">4. May 1 is </w:t>
      </w:r>
      <w:r w:rsidR="00D874F0">
        <w:t xml:space="preserve">the </w:t>
      </w:r>
      <w:r>
        <w:t>deadline</w:t>
      </w:r>
      <w:r w:rsidR="009A54E3">
        <w:t xml:space="preserve"> for Catalogue, but </w:t>
      </w:r>
      <w:r w:rsidR="00D874F0">
        <w:t xml:space="preserve">we have </w:t>
      </w:r>
      <w:r w:rsidR="009A54E3">
        <w:t>no information about Faculty Handbook deadline.</w:t>
      </w:r>
    </w:p>
    <w:p w:rsidR="009A54E3" w:rsidRDefault="009A54E3" w:rsidP="00CA799F"/>
    <w:p w:rsidR="007919F3" w:rsidRDefault="009A54E3" w:rsidP="00CA799F">
      <w:r>
        <w:t>6. B. Ladner moved and K. Harper seconded the approval on the resolution to freeze Faculty</w:t>
      </w:r>
      <w:r w:rsidR="00D874F0">
        <w:t xml:space="preserve"> Personnel Actions</w:t>
      </w:r>
      <w:r w:rsidR="00132C7C">
        <w:t xml:space="preserve">. B. Lander asked if the language worked for M. Fultz’s concern about being able to apply. He said this was fine, suggesting that we still need to do annual reports next year. T. </w:t>
      </w:r>
      <w:proofErr w:type="spellStart"/>
      <w:r w:rsidR="00132C7C">
        <w:t>Ruhnke</w:t>
      </w:r>
      <w:proofErr w:type="spellEnd"/>
      <w:r w:rsidR="00132C7C">
        <w:t xml:space="preserve"> suggested a spread</w:t>
      </w:r>
      <w:r w:rsidR="00D874F0">
        <w:t>sheet to know exactly where faculty</w:t>
      </w:r>
      <w:r w:rsidR="00132C7C">
        <w:t xml:space="preserve"> are </w:t>
      </w:r>
      <w:r w:rsidR="00D874F0">
        <w:t xml:space="preserve">in order </w:t>
      </w:r>
      <w:r w:rsidR="00132C7C">
        <w:t>to track the clock to 7 rather than 6. D. Johnson said he thought the Academic Affairs Office was keeping track of this. J. Barnes-</w:t>
      </w:r>
      <w:proofErr w:type="spellStart"/>
      <w:r w:rsidR="00132C7C">
        <w:t>Pietruszynski</w:t>
      </w:r>
      <w:proofErr w:type="spellEnd"/>
      <w:r w:rsidR="00132C7C">
        <w:t xml:space="preserve"> suggested getting appointment years and promotion dates.</w:t>
      </w:r>
      <w:r w:rsidR="007919F3">
        <w:t xml:space="preserve"> T. </w:t>
      </w:r>
      <w:proofErr w:type="spellStart"/>
      <w:r w:rsidR="00D874F0">
        <w:t>Ruhnke</w:t>
      </w:r>
      <w:proofErr w:type="spellEnd"/>
      <w:r w:rsidR="00D874F0">
        <w:t xml:space="preserve"> </w:t>
      </w:r>
      <w:r w:rsidR="007919F3">
        <w:t>recommended dele</w:t>
      </w:r>
      <w:r w:rsidR="00D874F0">
        <w:t>ting item 4. R. Ford suggested the same</w:t>
      </w:r>
      <w:r w:rsidR="007919F3">
        <w:t xml:space="preserve"> change to the above </w:t>
      </w:r>
      <w:r w:rsidR="00D874F0">
        <w:t xml:space="preserve">language </w:t>
      </w:r>
      <w:r w:rsidR="007919F3">
        <w:t>as well, and specify AY</w:t>
      </w:r>
      <w:r w:rsidR="00D874F0">
        <w:t xml:space="preserve"> </w:t>
      </w:r>
      <w:r w:rsidR="007919F3">
        <w:t>2019-2020. B. Ladner accepted R. Ford</w:t>
      </w:r>
      <w:r w:rsidR="00D874F0">
        <w:t xml:space="preserve">’s as a friendly amendment. G. </w:t>
      </w:r>
      <w:proofErr w:type="spellStart"/>
      <w:r w:rsidR="00D874F0">
        <w:t>P</w:t>
      </w:r>
      <w:r w:rsidR="007919F3">
        <w:t>alubinskas</w:t>
      </w:r>
      <w:proofErr w:type="spellEnd"/>
      <w:r w:rsidR="007919F3">
        <w:t xml:space="preserve"> asked about </w:t>
      </w:r>
      <w:r w:rsidR="0006387A">
        <w:t xml:space="preserve">the </w:t>
      </w:r>
      <w:r w:rsidR="007919F3">
        <w:t xml:space="preserve">use </w:t>
      </w:r>
      <w:r w:rsidR="0006387A">
        <w:t>of student evaluations for other reasons</w:t>
      </w:r>
      <w:r w:rsidR="007919F3">
        <w:t>. B. Ladner ad</w:t>
      </w:r>
      <w:r w:rsidR="0006387A">
        <w:t>ded “not use them for personnel</w:t>
      </w:r>
      <w:r w:rsidR="007919F3">
        <w:t xml:space="preserve"> decisions. M. </w:t>
      </w:r>
      <w:proofErr w:type="spellStart"/>
      <w:r w:rsidR="007919F3">
        <w:t>Bh</w:t>
      </w:r>
      <w:r w:rsidR="0006387A">
        <w:t>u</w:t>
      </w:r>
      <w:r w:rsidR="007919F3">
        <w:t>iyan</w:t>
      </w:r>
      <w:proofErr w:type="spellEnd"/>
      <w:r w:rsidR="007919F3">
        <w:t xml:space="preserve"> said faculty could still use them</w:t>
      </w:r>
      <w:r w:rsidR="0006387A">
        <w:t xml:space="preserve"> for personal growth</w:t>
      </w:r>
      <w:r w:rsidR="007919F3">
        <w:t>. T. Kiddie then asked if we want all courses</w:t>
      </w:r>
      <w:r w:rsidR="0006387A">
        <w:t xml:space="preserve"> to have online evaluations</w:t>
      </w:r>
      <w:r w:rsidR="007919F3">
        <w:t xml:space="preserve">. </w:t>
      </w:r>
      <w:r w:rsidR="0006387A">
        <w:t xml:space="preserve">There are challenges to this. </w:t>
      </w:r>
      <w:r w:rsidR="007919F3">
        <w:t xml:space="preserve">Some don’t have Moodle shells. </w:t>
      </w:r>
      <w:r w:rsidR="0006387A">
        <w:t>The answer was no. D. Johnson will send out the proposal wording and senators will v</w:t>
      </w:r>
      <w:r w:rsidR="007919F3">
        <w:t xml:space="preserve">otes </w:t>
      </w:r>
      <w:r w:rsidR="0006387A">
        <w:t>by email. Note: The proposal’s language is found at the end of the minutes. The vote was taken via email and passed.</w:t>
      </w:r>
    </w:p>
    <w:p w:rsidR="0006387A" w:rsidRDefault="0006387A" w:rsidP="00CA799F"/>
    <w:p w:rsidR="007919F3" w:rsidRDefault="007919F3" w:rsidP="00CA799F">
      <w:r>
        <w:t>7. Academic Rank</w:t>
      </w:r>
      <w:r w:rsidR="0006387A">
        <w:t xml:space="preserve"> for Term Faculty</w:t>
      </w:r>
      <w:r>
        <w:t xml:space="preserve">. T. </w:t>
      </w:r>
      <w:proofErr w:type="spellStart"/>
      <w:r>
        <w:t>Rhunke</w:t>
      </w:r>
      <w:proofErr w:type="spellEnd"/>
      <w:r>
        <w:t xml:space="preserve"> moved </w:t>
      </w:r>
      <w:r w:rsidR="0006387A">
        <w:t xml:space="preserve">and B. Lander seconded the </w:t>
      </w:r>
      <w:r>
        <w:t>adoption of the language</w:t>
      </w:r>
      <w:r w:rsidR="0006387A">
        <w:t xml:space="preserve"> detailing Academic Rank Advancement for term faculty (non-tenure track and research)</w:t>
      </w:r>
      <w:r>
        <w:t xml:space="preserve">. M. </w:t>
      </w:r>
      <w:proofErr w:type="spellStart"/>
      <w:r>
        <w:t>B</w:t>
      </w:r>
      <w:r w:rsidR="0006387A">
        <w:t>h</w:t>
      </w:r>
      <w:r>
        <w:t>u</w:t>
      </w:r>
      <w:r w:rsidR="0006387A">
        <w:t>iyan</w:t>
      </w:r>
      <w:proofErr w:type="spellEnd"/>
      <w:r w:rsidR="0006387A">
        <w:t xml:space="preserve"> asked about t</w:t>
      </w:r>
      <w:r>
        <w:t>enure-track</w:t>
      </w:r>
      <w:r w:rsidR="0006387A">
        <w:t xml:space="preserve"> professors</w:t>
      </w:r>
      <w:r>
        <w:t>. That is in policy and unchanged by this</w:t>
      </w:r>
      <w:r w:rsidR="0006387A">
        <w:t xml:space="preserve"> policy. M. Fultz asked if we a</w:t>
      </w:r>
      <w:r>
        <w:t xml:space="preserve">re hoping for pay increases. Yes, but that would be independent from this action. N. Zaman asked if a </w:t>
      </w:r>
      <w:proofErr w:type="spellStart"/>
      <w:r>
        <w:t>masters</w:t>
      </w:r>
      <w:proofErr w:type="spellEnd"/>
      <w:r>
        <w:t xml:space="preserve"> </w:t>
      </w:r>
      <w:r w:rsidR="0006387A">
        <w:t xml:space="preserve">degree </w:t>
      </w:r>
      <w:r>
        <w:t>was required, or if Bachelors would work with pro</w:t>
      </w:r>
      <w:r w:rsidR="00966F4B">
        <w:t xml:space="preserve">fessional experience. We looked at the document on the screen, looking at the issue being covered. The document is for those being hired full-time, not for individual, case by case classes. T. Kiddie asked about the table referencing assistant, associate, and full professor. This was missed by </w:t>
      </w:r>
      <w:r w:rsidR="0006387A">
        <w:t xml:space="preserve">the </w:t>
      </w:r>
      <w:r w:rsidR="00966F4B">
        <w:t>Exec.</w:t>
      </w:r>
      <w:r w:rsidR="0006387A">
        <w:t xml:space="preserve"> Committee</w:t>
      </w:r>
      <w:r w:rsidR="00966F4B">
        <w:t xml:space="preserve"> and w</w:t>
      </w:r>
      <w:r w:rsidR="0006387A">
        <w:t xml:space="preserve">ill be </w:t>
      </w:r>
      <w:r w:rsidR="00966F4B">
        <w:t>taken out.</w:t>
      </w:r>
      <w:r w:rsidR="0006387A">
        <w:t xml:space="preserve"> Note: The proposal’s language is found at the end of the minutes. The vote occurred via email and passed.</w:t>
      </w:r>
    </w:p>
    <w:p w:rsidR="00966F4B" w:rsidRDefault="00966F4B" w:rsidP="00CA799F"/>
    <w:p w:rsidR="00966F4B" w:rsidRDefault="00966F4B" w:rsidP="00CA799F">
      <w:r>
        <w:t>8. It was asked about the delay in timeline for</w:t>
      </w:r>
      <w:r w:rsidR="0006387A">
        <w:t xml:space="preserve"> the</w:t>
      </w:r>
      <w:r>
        <w:t xml:space="preserve"> Pres</w:t>
      </w:r>
      <w:r w:rsidR="0006387A">
        <w:t>idential</w:t>
      </w:r>
      <w:r>
        <w:t xml:space="preserve"> Search. F. Vaughan said it was pushed back to June, assuming good candidates are busy at their institutions. T. </w:t>
      </w:r>
      <w:proofErr w:type="spellStart"/>
      <w:r>
        <w:t>Ruhnke</w:t>
      </w:r>
      <w:proofErr w:type="spellEnd"/>
      <w:r>
        <w:t xml:space="preserve"> suggested F. Vaughan let Exec. know more details as things change. M. </w:t>
      </w:r>
      <w:proofErr w:type="spellStart"/>
      <w:r>
        <w:t>B</w:t>
      </w:r>
      <w:r w:rsidR="0006387A">
        <w:t>huiyan</w:t>
      </w:r>
      <w:proofErr w:type="spellEnd"/>
      <w:r w:rsidR="0006387A">
        <w:t xml:space="preserve"> voiced</w:t>
      </w:r>
      <w:r>
        <w:t xml:space="preserve"> concern about a president leaving in </w:t>
      </w:r>
      <w:r w:rsidR="002A62A3">
        <w:t>August as not being a good thing. F. Vaughan said we might have a great candidate once we get applications, then we could move forward. B. Ladner asked about HLC meetings, and this timeline was clarified. J. Barnes and B. Lander moved acceptance of the BOG report. The motion carried by voice vote.</w:t>
      </w:r>
    </w:p>
    <w:p w:rsidR="002A62A3" w:rsidRDefault="002A62A3" w:rsidP="00CA799F"/>
    <w:p w:rsidR="002A62A3" w:rsidRDefault="002A62A3" w:rsidP="00CA799F">
      <w:r>
        <w:t xml:space="preserve">9. R. Ford reviewed current elections situations. </w:t>
      </w:r>
      <w:r w:rsidR="0006387A">
        <w:t xml:space="preserve">The </w:t>
      </w:r>
      <w:r>
        <w:t>Social Sciences</w:t>
      </w:r>
      <w:r w:rsidR="0006387A">
        <w:t xml:space="preserve"> dept. chair election is postponed until fall. S. Gilliland</w:t>
      </w:r>
      <w:r>
        <w:t xml:space="preserve"> was voted </w:t>
      </w:r>
      <w:r w:rsidR="0006387A">
        <w:t>Comm. Dept. Chair</w:t>
      </w:r>
      <w:r w:rsidR="0006387A" w:rsidRPr="0006387A">
        <w:t xml:space="preserve"> </w:t>
      </w:r>
      <w:r w:rsidR="0006387A">
        <w:t>by acclimation</w:t>
      </w:r>
      <w:r>
        <w:t>. J</w:t>
      </w:r>
      <w:r w:rsidR="0006387A">
        <w:t xml:space="preserve">. </w:t>
      </w:r>
      <w:proofErr w:type="spellStart"/>
      <w:r w:rsidR="0006387A">
        <w:t>Pietruszynski</w:t>
      </w:r>
      <w:proofErr w:type="spellEnd"/>
      <w:r w:rsidR="0006387A">
        <w:t xml:space="preserve"> was voted English Dept. Chair by acclamation. </w:t>
      </w:r>
      <w:r>
        <w:t>M</w:t>
      </w:r>
      <w:r w:rsidR="0006387A">
        <w:t>. Zapata was elected Mod</w:t>
      </w:r>
      <w:r w:rsidR="001F3883">
        <w:t>ern Foreign Languages Dept. Chair</w:t>
      </w:r>
      <w:r w:rsidR="0006387A">
        <w:t xml:space="preserve">. </w:t>
      </w:r>
      <w:r>
        <w:t>R</w:t>
      </w:r>
      <w:r w:rsidR="001F3883">
        <w:t>. Wallace</w:t>
      </w:r>
      <w:r>
        <w:t xml:space="preserve"> asked if T</w:t>
      </w:r>
      <w:r w:rsidR="001F3883">
        <w:t xml:space="preserve">. Kiddie </w:t>
      </w:r>
      <w:r>
        <w:t xml:space="preserve">could serve as At Large Exec. </w:t>
      </w:r>
      <w:r w:rsidR="001F3883">
        <w:t xml:space="preserve">Committee Member </w:t>
      </w:r>
      <w:r>
        <w:t>and senator. J. Barnes said no. L. Davidson said that L. Good was up for reelection</w:t>
      </w:r>
      <w:r w:rsidR="001F3883">
        <w:t>,</w:t>
      </w:r>
      <w:r>
        <w:t xml:space="preserve"> the polling </w:t>
      </w:r>
      <w:r w:rsidR="001F3883">
        <w:t>was</w:t>
      </w:r>
      <w:r>
        <w:t xml:space="preserve"> closed</w:t>
      </w:r>
      <w:r w:rsidR="001F3883">
        <w:t>,</w:t>
      </w:r>
      <w:r>
        <w:t xml:space="preserve"> and she was voted back in</w:t>
      </w:r>
      <w:r w:rsidR="001F3883">
        <w:t xml:space="preserve"> as senator for Professional Studies</w:t>
      </w:r>
      <w:r>
        <w:t>.</w:t>
      </w:r>
    </w:p>
    <w:p w:rsidR="002A62A3" w:rsidRDefault="002A62A3" w:rsidP="00CA799F"/>
    <w:p w:rsidR="002A62A3" w:rsidRDefault="002A62A3" w:rsidP="00CA799F">
      <w:r>
        <w:t xml:space="preserve">10. ACF </w:t>
      </w:r>
      <w:r>
        <w:rPr>
          <w:rFonts w:cs="Times New Roman"/>
        </w:rPr>
        <w:t>–</w:t>
      </w:r>
      <w:r>
        <w:t xml:space="preserve"> </w:t>
      </w:r>
      <w:r w:rsidR="001F3883">
        <w:t>B. Lander said ACF would be learning w</w:t>
      </w:r>
      <w:r>
        <w:t xml:space="preserve">hat other campuses are doing and pass </w:t>
      </w:r>
      <w:r w:rsidR="001F3883">
        <w:t>the information along to our institutions. J. Barnes moved and M. Fultz seconded to approve the report.</w:t>
      </w:r>
      <w:r>
        <w:t xml:space="preserve"> The motion carried by voice vote.</w:t>
      </w:r>
    </w:p>
    <w:p w:rsidR="002A62A3" w:rsidRDefault="002A62A3" w:rsidP="00CA799F"/>
    <w:p w:rsidR="002A62A3" w:rsidRDefault="002A62A3" w:rsidP="00CA799F">
      <w:r>
        <w:lastRenderedPageBreak/>
        <w:t xml:space="preserve">11. EPC – 5 proposals </w:t>
      </w:r>
      <w:r w:rsidR="001F3883">
        <w:t xml:space="preserve">were </w:t>
      </w:r>
      <w:r>
        <w:t>turned in, a</w:t>
      </w:r>
      <w:r w:rsidR="001F3883">
        <w:t>nd a</w:t>
      </w:r>
      <w:r>
        <w:t xml:space="preserve">ll </w:t>
      </w:r>
      <w:r w:rsidR="001F3883">
        <w:t xml:space="preserve">were </w:t>
      </w:r>
      <w:r>
        <w:t xml:space="preserve">approved with minor edits. Instead of physical signatures, email approvals would suffice for </w:t>
      </w:r>
      <w:r w:rsidR="001F3883">
        <w:t xml:space="preserve">the </w:t>
      </w:r>
      <w:r>
        <w:t xml:space="preserve">April meeting. R. Ford asked about where the interdisciplinary degrees would be houses. Arts and Humanities, similar to RBA, </w:t>
      </w:r>
      <w:r w:rsidR="001F3883">
        <w:t xml:space="preserve">and it would require </w:t>
      </w:r>
      <w:r>
        <w:t>3 minors. J. Barnes</w:t>
      </w:r>
      <w:r w:rsidR="001F3883">
        <w:t>-</w:t>
      </w:r>
      <w:proofErr w:type="spellStart"/>
      <w:r w:rsidR="001F3883">
        <w:t>Pietruszynski</w:t>
      </w:r>
      <w:proofErr w:type="spellEnd"/>
      <w:r w:rsidR="001F3883">
        <w:t xml:space="preserve"> moved and </w:t>
      </w:r>
      <w:r>
        <w:t>B</w:t>
      </w:r>
      <w:r w:rsidR="001F3883">
        <w:t>.</w:t>
      </w:r>
      <w:r>
        <w:t xml:space="preserve"> Ladner</w:t>
      </w:r>
      <w:r w:rsidR="001F3883">
        <w:t xml:space="preserve"> seconded approval of the report. The motion carried by voice v</w:t>
      </w:r>
      <w:r>
        <w:t>ote.</w:t>
      </w:r>
    </w:p>
    <w:p w:rsidR="002A62A3" w:rsidRDefault="002A62A3" w:rsidP="00CA799F"/>
    <w:p w:rsidR="002A62A3" w:rsidRDefault="002A62A3" w:rsidP="00CA799F">
      <w:r>
        <w:t xml:space="preserve">12. Academic Appeals </w:t>
      </w:r>
      <w:r>
        <w:rPr>
          <w:rFonts w:cs="Times New Roman"/>
        </w:rPr>
        <w:t>–</w:t>
      </w:r>
      <w:r>
        <w:t xml:space="preserve"> no representation</w:t>
      </w:r>
    </w:p>
    <w:p w:rsidR="002A62A3" w:rsidRDefault="002A62A3" w:rsidP="00CA799F"/>
    <w:p w:rsidR="002A62A3" w:rsidRDefault="002A62A3" w:rsidP="00CA799F">
      <w:r>
        <w:t xml:space="preserve">13. Research and Faculty Development </w:t>
      </w:r>
      <w:r>
        <w:rPr>
          <w:rFonts w:cs="Times New Roman"/>
        </w:rPr>
        <w:t>–</w:t>
      </w:r>
      <w:r>
        <w:t xml:space="preserve"> no representation</w:t>
      </w:r>
    </w:p>
    <w:p w:rsidR="002A62A3" w:rsidRDefault="002A62A3" w:rsidP="00CA799F"/>
    <w:p w:rsidR="002A62A3" w:rsidRDefault="002A62A3" w:rsidP="00CA799F">
      <w:r>
        <w:t xml:space="preserve">14. </w:t>
      </w:r>
      <w:r w:rsidR="000F5B28">
        <w:t xml:space="preserve">Program Review </w:t>
      </w:r>
      <w:r w:rsidR="000F5B28">
        <w:rPr>
          <w:rFonts w:cs="Times New Roman"/>
        </w:rPr>
        <w:t>–</w:t>
      </w:r>
      <w:r w:rsidR="00C710BB">
        <w:t xml:space="preserve"> </w:t>
      </w:r>
      <w:r w:rsidR="000F5B28">
        <w:t>English</w:t>
      </w:r>
      <w:r w:rsidR="00C710BB">
        <w:t xml:space="preserve"> (new format) and Biology (traditional</w:t>
      </w:r>
      <w:r w:rsidR="000F5B28">
        <w:t xml:space="preserve">) </w:t>
      </w:r>
      <w:r w:rsidR="00C710BB">
        <w:t>were passed. Masters in Comm. a</w:t>
      </w:r>
      <w:r w:rsidR="000F5B28">
        <w:t xml:space="preserve">nd Media and </w:t>
      </w:r>
      <w:r w:rsidR="00C710BB">
        <w:t xml:space="preserve">Masters in </w:t>
      </w:r>
      <w:r w:rsidR="000F5B28">
        <w:t>Biotech request</w:t>
      </w:r>
      <w:r w:rsidR="00C710BB">
        <w:t>ed</w:t>
      </w:r>
      <w:r w:rsidR="000F5B28">
        <w:t xml:space="preserve"> postponement. Byers has asked HEPC</w:t>
      </w:r>
      <w:r w:rsidR="00C710BB">
        <w:t xml:space="preserve"> for this approval.</w:t>
      </w:r>
      <w:r w:rsidR="000F5B28">
        <w:t xml:space="preserve"> </w:t>
      </w:r>
      <w:r w:rsidR="00C710BB">
        <w:t xml:space="preserve">During the meeting a postponement until </w:t>
      </w:r>
      <w:r w:rsidR="000F5B28">
        <w:t>Sept</w:t>
      </w:r>
      <w:r w:rsidR="00C710BB">
        <w:t xml:space="preserve">. 30 was </w:t>
      </w:r>
      <w:r w:rsidR="000F5B28">
        <w:t>confirmed. K. Harper asked if that applied to the two that passed. R. Ford didn’t know. F. Vaughan asked if she want them to go</w:t>
      </w:r>
      <w:r w:rsidR="00C710BB">
        <w:t xml:space="preserve"> forward. She said yes. J. </w:t>
      </w:r>
      <w:proofErr w:type="spellStart"/>
      <w:r w:rsidR="00C710BB">
        <w:t>Pietruszynski</w:t>
      </w:r>
      <w:proofErr w:type="spellEnd"/>
      <w:r w:rsidR="000F5B28">
        <w:t xml:space="preserve"> has tried to get that answer. K. Harper asked if it would </w:t>
      </w:r>
      <w:r w:rsidR="00C710BB">
        <w:t xml:space="preserve">go before the BOG in the June </w:t>
      </w:r>
      <w:r w:rsidR="000F5B28">
        <w:t xml:space="preserve">meeting at this point. </w:t>
      </w:r>
      <w:r w:rsidR="00C710BB">
        <w:t>F. Vaughan said m</w:t>
      </w:r>
      <w:r w:rsidR="000F5B28">
        <w:t>aybe May. B. Ladner moved, C. Clark seconded approval of the report. The motion carried by voice vote.</w:t>
      </w:r>
    </w:p>
    <w:p w:rsidR="000F5B28" w:rsidRDefault="000F5B28" w:rsidP="00CA799F"/>
    <w:p w:rsidR="000F5B28" w:rsidRDefault="00C710BB" w:rsidP="00CA799F">
      <w:r>
        <w:t>15. N. Zaman suggested R. Ford ask U. Reddy</w:t>
      </w:r>
      <w:r w:rsidR="000F5B28">
        <w:t xml:space="preserve"> about</w:t>
      </w:r>
      <w:r>
        <w:t xml:space="preserve"> the</w:t>
      </w:r>
      <w:r w:rsidR="000F5B28">
        <w:t xml:space="preserve"> PEER GRANT moving forward.</w:t>
      </w:r>
    </w:p>
    <w:p w:rsidR="000F5B28" w:rsidRDefault="000F5B28" w:rsidP="00CA799F"/>
    <w:p w:rsidR="000F5B28" w:rsidRDefault="000F5B28" w:rsidP="00CA799F">
      <w:r>
        <w:t xml:space="preserve">16. Constitution and Bylaws </w:t>
      </w:r>
      <w:r>
        <w:rPr>
          <w:rFonts w:cs="Times New Roman"/>
        </w:rPr>
        <w:t>–</w:t>
      </w:r>
      <w:r>
        <w:t xml:space="preserve"> No written report due to minutes and notes </w:t>
      </w:r>
      <w:r w:rsidR="00C710BB">
        <w:t xml:space="preserve">being </w:t>
      </w:r>
      <w:r>
        <w:t xml:space="preserve">in his </w:t>
      </w:r>
      <w:r w:rsidR="00C710BB">
        <w:t xml:space="preserve">non-accessible </w:t>
      </w:r>
      <w:r>
        <w:t xml:space="preserve">office. Use of email for written ballots is the only thing for now. </w:t>
      </w:r>
      <w:r w:rsidR="00C710BB">
        <w:t>There is n</w:t>
      </w:r>
      <w:r>
        <w:t>o motion on</w:t>
      </w:r>
      <w:r w:rsidR="00C710BB">
        <w:t xml:space="preserve"> the constitution making it into the</w:t>
      </w:r>
      <w:r>
        <w:t xml:space="preserve"> Faculty Handbook. R. Ford said it would be great to have the updated Constitution and Bylaws for the Handbook. D</w:t>
      </w:r>
      <w:r w:rsidR="00C710BB">
        <w:t>. Wells</w:t>
      </w:r>
      <w:r>
        <w:t xml:space="preserve"> would need to make the master copy changes. M. Workman said he would work with </w:t>
      </w:r>
      <w:r w:rsidR="00C710BB">
        <w:t>her</w:t>
      </w:r>
      <w:r>
        <w:t xml:space="preserve"> and send her what he has. J. Barnes</w:t>
      </w:r>
      <w:r w:rsidR="00C710BB">
        <w:t>-</w:t>
      </w:r>
      <w:proofErr w:type="spellStart"/>
      <w:r w:rsidR="00C710BB">
        <w:t>Pietruszynski</w:t>
      </w:r>
      <w:proofErr w:type="spellEnd"/>
      <w:r>
        <w:t xml:space="preserve"> has sent her what has been passed by senate and committ</w:t>
      </w:r>
      <w:r w:rsidR="00C710BB">
        <w:t>e</w:t>
      </w:r>
      <w:r>
        <w:t>es. B. Lander</w:t>
      </w:r>
      <w:r w:rsidR="00C710BB">
        <w:t xml:space="preserve"> </w:t>
      </w:r>
      <w:r>
        <w:t xml:space="preserve">moved and T. </w:t>
      </w:r>
      <w:proofErr w:type="spellStart"/>
      <w:r>
        <w:t>Ru</w:t>
      </w:r>
      <w:r w:rsidR="00C710BB">
        <w:t>h</w:t>
      </w:r>
      <w:r>
        <w:t>nke</w:t>
      </w:r>
      <w:proofErr w:type="spellEnd"/>
      <w:r>
        <w:t xml:space="preserve"> seconded to accept the report. The motion carried by voice vote.</w:t>
      </w:r>
    </w:p>
    <w:p w:rsidR="000F5B28" w:rsidRDefault="000F5B28" w:rsidP="00CA799F"/>
    <w:p w:rsidR="000F5B28" w:rsidRDefault="000F5B28" w:rsidP="00CA799F">
      <w:r>
        <w:t xml:space="preserve">17. Faculty Personnel </w:t>
      </w:r>
      <w:r>
        <w:rPr>
          <w:rFonts w:cs="Times New Roman"/>
        </w:rPr>
        <w:t>–</w:t>
      </w:r>
      <w:r>
        <w:t xml:space="preserve"> The only business was the two resolutions addressed earlier in the meeting. J. Barnes</w:t>
      </w:r>
      <w:r w:rsidR="00C710BB">
        <w:t>-</w:t>
      </w:r>
      <w:proofErr w:type="spellStart"/>
      <w:r w:rsidR="00C710BB">
        <w:t>Pietruszynski</w:t>
      </w:r>
      <w:proofErr w:type="spellEnd"/>
      <w:r>
        <w:t xml:space="preserve"> </w:t>
      </w:r>
      <w:r w:rsidR="00C710BB">
        <w:t xml:space="preserve">moved </w:t>
      </w:r>
      <w:r>
        <w:t>and B. L</w:t>
      </w:r>
      <w:r w:rsidR="00C710BB">
        <w:t>a</w:t>
      </w:r>
      <w:r>
        <w:t xml:space="preserve">nder </w:t>
      </w:r>
      <w:r w:rsidR="00C710BB">
        <w:t>seconded to approve the report. T</w:t>
      </w:r>
      <w:r>
        <w:t>he motion carried by voice vote.</w:t>
      </w:r>
    </w:p>
    <w:p w:rsidR="000F5B28" w:rsidRDefault="000F5B28" w:rsidP="00CA799F"/>
    <w:p w:rsidR="000F5B28" w:rsidRDefault="000F5B28" w:rsidP="00CA799F">
      <w:r>
        <w:t xml:space="preserve">18. Teacher Education </w:t>
      </w:r>
      <w:r>
        <w:rPr>
          <w:rFonts w:cs="Times New Roman"/>
        </w:rPr>
        <w:t>–</w:t>
      </w:r>
      <w:r>
        <w:t xml:space="preserve"> no representative</w:t>
      </w:r>
    </w:p>
    <w:p w:rsidR="000F5B28" w:rsidRDefault="000F5B28" w:rsidP="00CA799F"/>
    <w:p w:rsidR="000F5B28" w:rsidRDefault="000F5B28" w:rsidP="00CA799F">
      <w:r>
        <w:t xml:space="preserve">19. </w:t>
      </w:r>
      <w:r w:rsidR="007A7D66">
        <w:t>J. Barnes</w:t>
      </w:r>
      <w:r w:rsidR="00C710BB">
        <w:t>-</w:t>
      </w:r>
      <w:proofErr w:type="spellStart"/>
      <w:r w:rsidR="00C710BB">
        <w:t>Pietruszynski</w:t>
      </w:r>
      <w:proofErr w:type="spellEnd"/>
      <w:r w:rsidR="007A7D66">
        <w:t xml:space="preserve"> </w:t>
      </w:r>
      <w:r w:rsidR="00C710BB">
        <w:t xml:space="preserve">mentioned that </w:t>
      </w:r>
      <w:r w:rsidR="007A7D66">
        <w:t xml:space="preserve">work </w:t>
      </w:r>
      <w:r w:rsidR="00C710BB">
        <w:t xml:space="preserve">on various ad hoc committees </w:t>
      </w:r>
      <w:r w:rsidR="007A7D66">
        <w:t>would continue as things settle down</w:t>
      </w:r>
      <w:r w:rsidR="00C710BB">
        <w:t xml:space="preserve"> with the coronavirus</w:t>
      </w:r>
      <w:r w:rsidR="007A7D66">
        <w:t>.</w:t>
      </w:r>
    </w:p>
    <w:p w:rsidR="007A7D66" w:rsidRDefault="007A7D66" w:rsidP="00CA799F"/>
    <w:p w:rsidR="007A7D66" w:rsidRDefault="007A7D66" w:rsidP="00CA799F">
      <w:r>
        <w:t xml:space="preserve">20. </w:t>
      </w:r>
      <w:r w:rsidR="00C710BB">
        <w:t xml:space="preserve">Faculty Awards: </w:t>
      </w:r>
      <w:r>
        <w:t xml:space="preserve">All have been submitted. The challenge of the teaching award is that they </w:t>
      </w:r>
      <w:r w:rsidR="00C710BB">
        <w:t>can’t visit the class, but they wi</w:t>
      </w:r>
      <w:r>
        <w:t>ll go wit</w:t>
      </w:r>
      <w:r w:rsidR="00C710BB">
        <w:t>h the paper documentation. They wi</w:t>
      </w:r>
      <w:r>
        <w:t>ll give out 4 awards in August.</w:t>
      </w:r>
    </w:p>
    <w:p w:rsidR="007A7D66" w:rsidRDefault="007A7D66" w:rsidP="00CA799F"/>
    <w:p w:rsidR="007A7D66" w:rsidRDefault="007A7D66" w:rsidP="00CA799F">
      <w:r>
        <w:t xml:space="preserve">21. Standing Committee for Athletics. After a conversation with A. Settle, the NCAA expects oversight by a committee of majority faculty, so this would provide the desired oversight. Aaron has been the FAR since the end of </w:t>
      </w:r>
      <w:r w:rsidR="00A13786">
        <w:t xml:space="preserve">Pres. </w:t>
      </w:r>
      <w:r>
        <w:t>Carter</w:t>
      </w:r>
      <w:r w:rsidR="00A13786">
        <w:t>’s administration</w:t>
      </w:r>
      <w:r>
        <w:t>, stepped out for some training work</w:t>
      </w:r>
      <w:r w:rsidR="00A13786">
        <w:t xml:space="preserve"> at one point</w:t>
      </w:r>
      <w:r>
        <w:t xml:space="preserve">, then </w:t>
      </w:r>
      <w:r w:rsidR="00A13786">
        <w:t xml:space="preserve">was </w:t>
      </w:r>
      <w:r>
        <w:t xml:space="preserve">put back in. He has been chair </w:t>
      </w:r>
      <w:r w:rsidR="00A13786">
        <w:t xml:space="preserve">of the Athletic Committee </w:t>
      </w:r>
      <w:r>
        <w:t xml:space="preserve">since Jenkins came. He verbalized the committee make-up and his notes while </w:t>
      </w:r>
      <w:r w:rsidR="00A13786">
        <w:t>it was shared onscreen. We cannot</w:t>
      </w:r>
      <w:r>
        <w:t xml:space="preserve"> tell the Athletic Director who to appoint, but we could recommend a female coach. He also thinks the FAR should serve as Committee Chair. We need to avoid the problem we have now of </w:t>
      </w:r>
      <w:r>
        <w:lastRenderedPageBreak/>
        <w:t>not having a committee for a year. W</w:t>
      </w:r>
      <w:r w:rsidR="00A13786">
        <w:t>ith a Faculty Senate Standing Committee w</w:t>
      </w:r>
      <w:r>
        <w:t>e could have support that would span Presidents and have greater institutional memory. B. Ladner suggested 2 members, 1 from men</w:t>
      </w:r>
      <w:r w:rsidR="00A13786">
        <w:t>’</w:t>
      </w:r>
      <w:r>
        <w:t xml:space="preserve">s and </w:t>
      </w:r>
      <w:r w:rsidR="00A13786">
        <w:t xml:space="preserve">1 from </w:t>
      </w:r>
      <w:r>
        <w:t>women</w:t>
      </w:r>
      <w:r w:rsidR="00A13786">
        <w:t>’</w:t>
      </w:r>
      <w:r>
        <w:t>s</w:t>
      </w:r>
      <w:r w:rsidR="00A13786">
        <w:t xml:space="preserve"> sports</w:t>
      </w:r>
      <w:r>
        <w:t xml:space="preserve">. T. </w:t>
      </w:r>
      <w:proofErr w:type="spellStart"/>
      <w:r>
        <w:t>Ruhnke</w:t>
      </w:r>
      <w:proofErr w:type="spellEnd"/>
      <w:r>
        <w:t xml:space="preserve"> said to pr</w:t>
      </w:r>
      <w:r w:rsidR="00A13786">
        <w:t>eserve faculty majori</w:t>
      </w:r>
      <w:r>
        <w:t xml:space="preserve">ty voting members, they could be ex-officio non-voting. B. Lander feels uncomfortable specifying </w:t>
      </w:r>
      <w:r w:rsidR="008C67AC">
        <w:t>gender</w:t>
      </w:r>
      <w:r w:rsidR="00A13786">
        <w:t xml:space="preserve"> of those appointees</w:t>
      </w:r>
      <w:r w:rsidR="008C67AC">
        <w:t>, especially considering male coaches of female spor</w:t>
      </w:r>
      <w:r w:rsidR="00A13786">
        <w:t xml:space="preserve">ts. T. </w:t>
      </w:r>
      <w:proofErr w:type="spellStart"/>
      <w:r w:rsidR="00A13786">
        <w:t>Guetzloff</w:t>
      </w:r>
      <w:proofErr w:type="spellEnd"/>
      <w:r w:rsidR="00A13786">
        <w:t xml:space="preserve"> suggested the Senior</w:t>
      </w:r>
      <w:r w:rsidR="008C67AC">
        <w:t xml:space="preserve"> </w:t>
      </w:r>
      <w:r w:rsidR="00A13786">
        <w:t>Female A</w:t>
      </w:r>
      <w:r w:rsidR="008C67AC">
        <w:t xml:space="preserve">dministrator </w:t>
      </w:r>
      <w:r w:rsidR="00A13786">
        <w:t xml:space="preserve">should </w:t>
      </w:r>
      <w:r w:rsidR="008C67AC">
        <w:t xml:space="preserve">be on the committee. T. </w:t>
      </w:r>
      <w:proofErr w:type="spellStart"/>
      <w:r w:rsidR="008C67AC">
        <w:t>Ruhnke</w:t>
      </w:r>
      <w:proofErr w:type="spellEnd"/>
      <w:r w:rsidR="008C67AC">
        <w:t xml:space="preserve"> suggested she be ex-officio. The committee is a communication mechanism. Most of the financial and administrative </w:t>
      </w:r>
      <w:r w:rsidR="00A13786">
        <w:t xml:space="preserve">authority </w:t>
      </w:r>
      <w:r w:rsidR="008C67AC">
        <w:t xml:space="preserve">is in the hands of the Athletic Director, so the committee is there to be educated and then provide support. A. Settle said that the </w:t>
      </w:r>
      <w:r w:rsidR="00A13786">
        <w:t xml:space="preserve">NCAA </w:t>
      </w:r>
      <w:r w:rsidR="008C67AC">
        <w:t xml:space="preserve">compliance officer is </w:t>
      </w:r>
      <w:r w:rsidR="00A13786">
        <w:t xml:space="preserve">part of the committee, </w:t>
      </w:r>
      <w:r w:rsidR="008C67AC">
        <w:t>so the committee is to help be in compliance with NCAA, and that pers</w:t>
      </w:r>
      <w:r w:rsidR="00A13786">
        <w:t>on will be crucial for this. He i</w:t>
      </w:r>
      <w:r w:rsidR="008C67AC">
        <w:t xml:space="preserve">s definitely needed at most meetings. T. </w:t>
      </w:r>
      <w:proofErr w:type="spellStart"/>
      <w:r w:rsidR="008C67AC">
        <w:t>Guetzloff</w:t>
      </w:r>
      <w:proofErr w:type="spellEnd"/>
      <w:r w:rsidR="008C67AC">
        <w:t xml:space="preserve"> agreed. T. </w:t>
      </w:r>
      <w:proofErr w:type="spellStart"/>
      <w:r w:rsidR="008C67AC">
        <w:t>Ruhnke</w:t>
      </w:r>
      <w:proofErr w:type="spellEnd"/>
      <w:r w:rsidR="008C67AC">
        <w:t xml:space="preserve"> suggested we use the given language and </w:t>
      </w:r>
      <w:r w:rsidR="00A13786">
        <w:t xml:space="preserve">we </w:t>
      </w:r>
      <w:r w:rsidR="008C67AC">
        <w:t>can tweak</w:t>
      </w:r>
      <w:r w:rsidR="00A13786">
        <w:t xml:space="preserve"> it</w:t>
      </w:r>
      <w:r w:rsidR="008C67AC">
        <w:t xml:space="preserve"> as early as next year. Now is the time to take action. B. Ladner moved we approve as written, given the change to “student athlete</w:t>
      </w:r>
      <w:r w:rsidR="00A13786">
        <w:t>.</w:t>
      </w:r>
      <w:r w:rsidR="008C67AC">
        <w:t>”</w:t>
      </w:r>
    </w:p>
    <w:p w:rsidR="00A737D1" w:rsidRDefault="00A737D1" w:rsidP="004A2C04"/>
    <w:p w:rsidR="008C67AC" w:rsidRDefault="008C67AC" w:rsidP="004A2C04">
      <w:r>
        <w:t xml:space="preserve">22. May 1 meeting </w:t>
      </w:r>
      <w:r>
        <w:rPr>
          <w:rFonts w:cs="Times New Roman"/>
        </w:rPr>
        <w:t>–</w:t>
      </w:r>
      <w:r w:rsidR="00A13786">
        <w:t xml:space="preserve"> reminder of Executive Committee Elections at our next meeting.</w:t>
      </w:r>
    </w:p>
    <w:p w:rsidR="008C67AC" w:rsidRDefault="008C67AC" w:rsidP="004A2C04"/>
    <w:p w:rsidR="008C67AC" w:rsidRDefault="008C67AC" w:rsidP="004A2C04">
      <w:r>
        <w:t xml:space="preserve">23. General Faculty Meeting </w:t>
      </w:r>
      <w:r>
        <w:rPr>
          <w:rFonts w:cs="Times New Roman"/>
        </w:rPr>
        <w:t>–</w:t>
      </w:r>
      <w:r>
        <w:t xml:space="preserve"> Any other action items before us</w:t>
      </w:r>
      <w:r w:rsidR="00A13786">
        <w:t xml:space="preserve"> other than the ballot to email?</w:t>
      </w:r>
      <w:r>
        <w:t xml:space="preserve"> The consensus was to have a Zoom Meeting to fulfill the constitution. J. Barnes</w:t>
      </w:r>
      <w:r w:rsidR="00A13786">
        <w:t>-</w:t>
      </w:r>
      <w:proofErr w:type="spellStart"/>
      <w:r w:rsidR="00A13786">
        <w:t>Pietruszynski</w:t>
      </w:r>
      <w:proofErr w:type="spellEnd"/>
      <w:r>
        <w:t xml:space="preserve"> suggested some language we could add to excuse us from requiring meetings</w:t>
      </w:r>
      <w:r w:rsidR="00A13786">
        <w:t xml:space="preserve"> in emergencies</w:t>
      </w:r>
      <w:r>
        <w:t xml:space="preserve">. B. Ladner agreed and suggested </w:t>
      </w:r>
      <w:r w:rsidR="00A13786">
        <w:t>w</w:t>
      </w:r>
      <w:r w:rsidR="0095680D">
        <w:t>e work out the language in the fall. There was some discussio</w:t>
      </w:r>
      <w:r w:rsidR="00A13786">
        <w:t>n about whether there is a chanc</w:t>
      </w:r>
      <w:r w:rsidR="0095680D">
        <w:t>e we could meet. The decision was postponed.</w:t>
      </w:r>
    </w:p>
    <w:p w:rsidR="0095680D" w:rsidRDefault="0095680D" w:rsidP="004A2C04"/>
    <w:p w:rsidR="0095680D" w:rsidRDefault="0095680D" w:rsidP="004A2C04">
      <w:r>
        <w:t xml:space="preserve">24. M. </w:t>
      </w:r>
      <w:proofErr w:type="spellStart"/>
      <w:r>
        <w:t>B</w:t>
      </w:r>
      <w:r w:rsidR="00A13786">
        <w:t>h</w:t>
      </w:r>
      <w:r>
        <w:t>uiyan</w:t>
      </w:r>
      <w:proofErr w:type="spellEnd"/>
      <w:r>
        <w:t xml:space="preserve"> asked T. </w:t>
      </w:r>
      <w:proofErr w:type="spellStart"/>
      <w:r>
        <w:t>Guetzloff</w:t>
      </w:r>
      <w:proofErr w:type="spellEnd"/>
      <w:r>
        <w:t xml:space="preserve"> about keeping track of attendance tracker. He suggested assignments or participants list. M. Fultz asked about money for minority serving instituti</w:t>
      </w:r>
      <w:r w:rsidR="00A13786">
        <w:t xml:space="preserve">ons. Has anyone seen what that </w:t>
      </w:r>
      <w:r>
        <w:t>would be? R. Kendrick mentioned</w:t>
      </w:r>
      <w:r w:rsidR="00A13786">
        <w:t xml:space="preserve"> that would go to</w:t>
      </w:r>
      <w:r>
        <w:t xml:space="preserve"> health training and triba</w:t>
      </w:r>
      <w:r w:rsidR="00A13786">
        <w:t>l colleges. A. Smith said there i</w:t>
      </w:r>
      <w:r>
        <w:t>s funding regar</w:t>
      </w:r>
      <w:r w:rsidR="00A13786">
        <w:t>d</w:t>
      </w:r>
      <w:r>
        <w:t xml:space="preserve">ing </w:t>
      </w:r>
      <w:proofErr w:type="spellStart"/>
      <w:r>
        <w:t>pell</w:t>
      </w:r>
      <w:proofErr w:type="spellEnd"/>
      <w:r w:rsidR="00A13786">
        <w:t>-serving institutions. It i</w:t>
      </w:r>
      <w:r>
        <w:t xml:space="preserve">s based on Title III funding levels. T. </w:t>
      </w:r>
      <w:proofErr w:type="spellStart"/>
      <w:r>
        <w:t>Ru</w:t>
      </w:r>
      <w:r w:rsidR="00A13786">
        <w:t>h</w:t>
      </w:r>
      <w:r>
        <w:t>nke</w:t>
      </w:r>
      <w:proofErr w:type="spellEnd"/>
      <w:r>
        <w:t xml:space="preserve"> </w:t>
      </w:r>
      <w:r w:rsidR="00A13786">
        <w:t>said we should meet with C. Byers to see what he i</w:t>
      </w:r>
      <w:r>
        <w:t xml:space="preserve">s thinking for budget, </w:t>
      </w:r>
      <w:r w:rsidR="00A13786">
        <w:t xml:space="preserve">with </w:t>
      </w:r>
      <w:r w:rsidR="0067489B">
        <w:t>faculty getting worried about job</w:t>
      </w:r>
      <w:r w:rsidR="00A13786">
        <w:t>s</w:t>
      </w:r>
      <w:r w:rsidR="0067489B">
        <w:t xml:space="preserve"> for next fall, and dialogue with congressional folks. A. Smith said they are in constant talks assessing impact, etc. </w:t>
      </w:r>
    </w:p>
    <w:p w:rsidR="008C67AC" w:rsidRDefault="008C67AC" w:rsidP="004A2C04"/>
    <w:p w:rsidR="002C0A0E" w:rsidRDefault="002C0A0E" w:rsidP="004A2C04">
      <w:r>
        <w:t xml:space="preserve">The meeting </w:t>
      </w:r>
      <w:r w:rsidR="002B1A8B">
        <w:t>adjourned at 4:06</w:t>
      </w:r>
      <w:r>
        <w:t xml:space="preserve"> p.m.</w:t>
      </w:r>
    </w:p>
    <w:p w:rsidR="00236FBA" w:rsidRDefault="00236FBA" w:rsidP="004A2C04"/>
    <w:p w:rsidR="00236FBA" w:rsidRDefault="00236FBA" w:rsidP="004A2C04">
      <w:r>
        <w:t>(See Resolutions Below)</w:t>
      </w:r>
    </w:p>
    <w:p w:rsidR="00236FBA" w:rsidRDefault="00236FBA" w:rsidP="004A2C04"/>
    <w:p w:rsidR="00236FBA" w:rsidRDefault="00236FBA" w:rsidP="004A2C04"/>
    <w:p w:rsidR="00236FBA" w:rsidRDefault="00236FBA" w:rsidP="004A2C04"/>
    <w:p w:rsidR="00236FBA" w:rsidRDefault="00236FBA" w:rsidP="004A2C04"/>
    <w:p w:rsidR="00236FBA" w:rsidRDefault="00236FBA" w:rsidP="004A2C04"/>
    <w:p w:rsidR="00236FBA" w:rsidRDefault="00236FBA" w:rsidP="004A2C04"/>
    <w:p w:rsidR="00236FBA" w:rsidRDefault="00236FBA" w:rsidP="004A2C04"/>
    <w:p w:rsidR="00236FBA" w:rsidRDefault="00236FBA" w:rsidP="004A2C04"/>
    <w:p w:rsidR="00236FBA" w:rsidRDefault="00236FBA" w:rsidP="004A2C04"/>
    <w:p w:rsidR="00236FBA" w:rsidRDefault="00236FBA" w:rsidP="004A2C04"/>
    <w:p w:rsidR="00236FBA" w:rsidRDefault="00236FBA" w:rsidP="004A2C04"/>
    <w:p w:rsidR="00236FBA" w:rsidRDefault="00236FBA" w:rsidP="004A2C04"/>
    <w:p w:rsidR="00236FBA" w:rsidRDefault="00236FBA" w:rsidP="004A2C04"/>
    <w:p w:rsidR="00236FBA" w:rsidRDefault="00236FBA" w:rsidP="004A2C04"/>
    <w:p w:rsidR="00236FBA" w:rsidRDefault="00236FBA" w:rsidP="004A2C04"/>
    <w:p w:rsidR="00236FBA" w:rsidRDefault="00236FBA" w:rsidP="004A2C04"/>
    <w:p w:rsidR="00236FBA" w:rsidRDefault="00236FBA" w:rsidP="004A2C04"/>
    <w:p w:rsidR="00236FBA" w:rsidRPr="00D55F79" w:rsidRDefault="00236FBA" w:rsidP="00236FBA">
      <w:pPr>
        <w:rPr>
          <w:rFonts w:cs="Times New Roman"/>
          <w:b/>
          <w:sz w:val="28"/>
          <w:szCs w:val="28"/>
          <w:u w:val="single"/>
        </w:rPr>
      </w:pPr>
      <w:r w:rsidRPr="00D55F79">
        <w:rPr>
          <w:rFonts w:cs="Times New Roman"/>
          <w:b/>
          <w:sz w:val="28"/>
          <w:szCs w:val="28"/>
          <w:u w:val="single"/>
        </w:rPr>
        <w:t>*RESOLUTIONS*</w:t>
      </w:r>
    </w:p>
    <w:p w:rsidR="00236FBA" w:rsidRPr="00D55F79" w:rsidRDefault="00236FBA" w:rsidP="00236FBA">
      <w:pPr>
        <w:rPr>
          <w:rFonts w:cs="Times New Roman"/>
          <w:sz w:val="28"/>
          <w:szCs w:val="28"/>
        </w:rPr>
      </w:pPr>
    </w:p>
    <w:p w:rsidR="00236FBA" w:rsidRPr="00D55F79" w:rsidRDefault="00236FBA" w:rsidP="00236FBA">
      <w:pPr>
        <w:rPr>
          <w:rFonts w:cs="Times New Roman"/>
          <w:b/>
          <w:sz w:val="28"/>
          <w:szCs w:val="28"/>
          <w:u w:val="single"/>
        </w:rPr>
      </w:pPr>
      <w:r w:rsidRPr="00D55F79">
        <w:rPr>
          <w:rFonts w:cs="Times New Roman"/>
          <w:b/>
          <w:sz w:val="28"/>
          <w:szCs w:val="28"/>
          <w:u w:val="single"/>
        </w:rPr>
        <w:t>1) FACULTY ATHLETIC COMMITTEE</w:t>
      </w:r>
    </w:p>
    <w:p w:rsidR="00236FBA" w:rsidRDefault="00236FBA" w:rsidP="00236FBA">
      <w:pPr>
        <w:rPr>
          <w:rFonts w:cs="Times New Roman"/>
        </w:rPr>
      </w:pPr>
      <w:r w:rsidRPr="00D55F79">
        <w:rPr>
          <w:rFonts w:cs="Times New Roman"/>
        </w:rPr>
        <w:t>The Faculty Senate approves the creation of Th</w:t>
      </w:r>
      <w:r>
        <w:rPr>
          <w:rFonts w:cs="Times New Roman"/>
        </w:rPr>
        <w:t xml:space="preserve">e Faculty Athletic Committee, </w:t>
      </w:r>
      <w:r w:rsidRPr="00D55F79">
        <w:rPr>
          <w:rFonts w:cs="Times New Roman"/>
        </w:rPr>
        <w:t xml:space="preserve">a Faculty </w:t>
      </w:r>
      <w:r>
        <w:rPr>
          <w:rFonts w:cs="Times New Roman"/>
        </w:rPr>
        <w:t xml:space="preserve">Senate </w:t>
      </w:r>
      <w:r w:rsidRPr="00D55F79">
        <w:rPr>
          <w:rFonts w:cs="Times New Roman"/>
        </w:rPr>
        <w:t>Standing Committee as constituted below</w:t>
      </w:r>
      <w:r>
        <w:rPr>
          <w:rFonts w:cs="Times New Roman"/>
        </w:rPr>
        <w:t>.</w:t>
      </w:r>
    </w:p>
    <w:p w:rsidR="00236FBA" w:rsidRPr="00D55F79" w:rsidRDefault="00236FBA" w:rsidP="00236FBA">
      <w:pPr>
        <w:rPr>
          <w:rFonts w:cs="Times New Roman"/>
        </w:rPr>
      </w:pPr>
    </w:p>
    <w:p w:rsidR="00236FBA" w:rsidRPr="00D55F79" w:rsidRDefault="00236FBA" w:rsidP="00236FBA">
      <w:pPr>
        <w:ind w:left="720"/>
        <w:rPr>
          <w:rFonts w:cs="Times New Roman"/>
        </w:rPr>
      </w:pPr>
      <w:r w:rsidRPr="00D55F79">
        <w:rPr>
          <w:rFonts w:cs="Times New Roman"/>
        </w:rPr>
        <w:t>The Faculty Athletic Committee is comprised of faculty</w:t>
      </w:r>
      <w:r>
        <w:rPr>
          <w:rFonts w:cs="Times New Roman"/>
        </w:rPr>
        <w:t xml:space="preserve">, staff, and students, and acts </w:t>
      </w:r>
      <w:r w:rsidRPr="00D55F79">
        <w:rPr>
          <w:rFonts w:cs="Times New Roman"/>
        </w:rPr>
        <w:t>in an advisory role to the President of the University and the University Provost in</w:t>
      </w:r>
      <w:r>
        <w:rPr>
          <w:rFonts w:cs="Times New Roman"/>
        </w:rPr>
        <w:t xml:space="preserve"> </w:t>
      </w:r>
      <w:r w:rsidRPr="00D55F79">
        <w:rPr>
          <w:rFonts w:cs="Times New Roman"/>
        </w:rPr>
        <w:t>matters pertaining to intercollegiate athletics. The Faculty Athletic Committee will</w:t>
      </w:r>
      <w:r>
        <w:rPr>
          <w:rFonts w:cs="Times New Roman"/>
        </w:rPr>
        <w:t xml:space="preserve"> </w:t>
      </w:r>
      <w:r w:rsidRPr="00D55F79">
        <w:rPr>
          <w:rFonts w:cs="Times New Roman"/>
        </w:rPr>
        <w:t>review the following area pertaining to athletics: governance and commitment to</w:t>
      </w:r>
      <w:r>
        <w:rPr>
          <w:rFonts w:cs="Times New Roman"/>
        </w:rPr>
        <w:t xml:space="preserve"> </w:t>
      </w:r>
      <w:r w:rsidRPr="00D55F79">
        <w:rPr>
          <w:rFonts w:cs="Times New Roman"/>
        </w:rPr>
        <w:t>rules and compliance; academic integrity; fiscal integrity; commitment to equity; and</w:t>
      </w:r>
      <w:r>
        <w:rPr>
          <w:rFonts w:cs="Times New Roman"/>
        </w:rPr>
        <w:t xml:space="preserve"> </w:t>
      </w:r>
      <w:r w:rsidRPr="00D55F79">
        <w:rPr>
          <w:rFonts w:cs="Times New Roman"/>
        </w:rPr>
        <w:t>student-athlete welfare. The Faculty Athletic Committee will consist of the following</w:t>
      </w:r>
      <w:r>
        <w:rPr>
          <w:rFonts w:cs="Times New Roman"/>
        </w:rPr>
        <w:t xml:space="preserve"> </w:t>
      </w:r>
      <w:r w:rsidRPr="00D55F79">
        <w:rPr>
          <w:rFonts w:cs="Times New Roman"/>
        </w:rPr>
        <w:t>membership: one (1) elected faculty member from each College, one (1) elected at-large member of the WVSU faculty, the NCAA Faculty Athletic Representative (FAR),</w:t>
      </w:r>
      <w:r>
        <w:rPr>
          <w:rFonts w:cs="Times New Roman"/>
        </w:rPr>
        <w:t xml:space="preserve"> </w:t>
      </w:r>
      <w:r w:rsidRPr="00D55F79">
        <w:rPr>
          <w:rFonts w:cs="Times New Roman"/>
        </w:rPr>
        <w:t>the NCAA Compliance Officer, a member of the Classified Staff, and a student</w:t>
      </w:r>
      <w:r>
        <w:rPr>
          <w:rFonts w:cs="Times New Roman"/>
        </w:rPr>
        <w:t xml:space="preserve"> </w:t>
      </w:r>
      <w:r w:rsidRPr="00D55F79">
        <w:rPr>
          <w:rFonts w:cs="Times New Roman"/>
        </w:rPr>
        <w:t>athlete. A member of the coaching staff and a member of the “W” Club will be ex-officio members. The WVSU Athletic Director will be an ex-officio non-voting</w:t>
      </w:r>
      <w:r>
        <w:rPr>
          <w:rFonts w:cs="Times New Roman"/>
        </w:rPr>
        <w:t xml:space="preserve"> </w:t>
      </w:r>
      <w:r w:rsidRPr="00D55F79">
        <w:rPr>
          <w:rFonts w:cs="Times New Roman"/>
        </w:rPr>
        <w:t>member of the committee.</w:t>
      </w:r>
    </w:p>
    <w:p w:rsidR="00236FBA" w:rsidRDefault="00236FBA" w:rsidP="00236FBA">
      <w:pPr>
        <w:rPr>
          <w:rFonts w:cs="Times New Roman"/>
          <w:b/>
          <w:u w:val="single"/>
        </w:rPr>
      </w:pPr>
    </w:p>
    <w:p w:rsidR="00236FBA" w:rsidRPr="00D55F79" w:rsidRDefault="00236FBA" w:rsidP="00236FBA">
      <w:pPr>
        <w:rPr>
          <w:rFonts w:cs="Times New Roman"/>
          <w:b/>
          <w:sz w:val="28"/>
          <w:szCs w:val="28"/>
          <w:u w:val="single"/>
        </w:rPr>
      </w:pPr>
      <w:r w:rsidRPr="00D55F79">
        <w:rPr>
          <w:rFonts w:cs="Times New Roman"/>
          <w:b/>
          <w:sz w:val="28"/>
          <w:szCs w:val="28"/>
          <w:u w:val="single"/>
        </w:rPr>
        <w:t>2) Freezing faculty actions resolution</w:t>
      </w:r>
    </w:p>
    <w:p w:rsidR="00236FBA" w:rsidRPr="009606D4" w:rsidRDefault="00236FBA" w:rsidP="00236FBA">
      <w:r w:rsidRPr="009606D4">
        <w:t xml:space="preserve">The Faculty Senate approves the following recommendation presented by J. </w:t>
      </w:r>
      <w:proofErr w:type="spellStart"/>
      <w:r w:rsidRPr="009606D4">
        <w:t>Pietruszynski</w:t>
      </w:r>
      <w:proofErr w:type="spellEnd"/>
      <w:r w:rsidRPr="009606D4">
        <w:t>.</w:t>
      </w:r>
    </w:p>
    <w:p w:rsidR="00236FBA" w:rsidRPr="009606D4" w:rsidRDefault="00236FBA" w:rsidP="00236FBA">
      <w:pPr>
        <w:ind w:left="720"/>
        <w:rPr>
          <w:rFonts w:cs="Arial"/>
        </w:rPr>
      </w:pPr>
      <w:r w:rsidRPr="009606D4">
        <w:t>West Virginia State University’s Faculty Personnel Committee, Promotion and Tenure Committee, and Retention Committee recognize that the Coronavirus (COVID-19) pandemic has prevented and interrupted faculty progress toward professional and scholarly achievement, forced many faculty into a teaching environment that is unfamiliar, and reduced the ability to offer service to the university and community in general.  Therefore, we move, in this emergency resolution, that the Faculty Senate recommends the suspension of the traditional evaluations and timelines for tenure, promotion, and retention.  This recommendation includes:</w:t>
      </w:r>
    </w:p>
    <w:p w:rsidR="00236FBA" w:rsidRPr="009606D4" w:rsidRDefault="00236FBA" w:rsidP="00236FBA">
      <w:pPr>
        <w:ind w:left="720"/>
        <w:rPr>
          <w:rFonts w:cs="Arial"/>
        </w:rPr>
      </w:pPr>
      <w:r w:rsidRPr="009606D4">
        <w:t>1.    Offering automatic approval for a one-year extension of the probationary period to all applicable tenure-track faculty.</w:t>
      </w:r>
    </w:p>
    <w:p w:rsidR="00236FBA" w:rsidRPr="009606D4" w:rsidRDefault="00236FBA" w:rsidP="00236FBA">
      <w:pPr>
        <w:ind w:left="720"/>
        <w:rPr>
          <w:rFonts w:cs="Arial"/>
        </w:rPr>
      </w:pPr>
      <w:r w:rsidRPr="009606D4">
        <w:t>2.    Suspension of course-evaluations for the Spring 2020 semester.</w:t>
      </w:r>
    </w:p>
    <w:p w:rsidR="00236FBA" w:rsidRPr="009606D4" w:rsidRDefault="00236FBA" w:rsidP="00236FBA">
      <w:pPr>
        <w:ind w:left="720"/>
      </w:pPr>
      <w:r w:rsidRPr="009606D4">
        <w:t>3.    Suspension of Faculty Annual Self-Reports for AY 2019–2020, to resume AY 2020-2021.</w:t>
      </w:r>
    </w:p>
    <w:p w:rsidR="00236FBA" w:rsidRPr="009606D4" w:rsidRDefault="00236FBA" w:rsidP="00236FBA"/>
    <w:p w:rsidR="00236FBA" w:rsidRPr="00D55F79" w:rsidRDefault="00236FBA" w:rsidP="00236FBA">
      <w:pPr>
        <w:rPr>
          <w:rFonts w:ascii="Calibri" w:hAnsi="Calibri" w:cs="Arial"/>
          <w:b/>
          <w:sz w:val="28"/>
          <w:szCs w:val="28"/>
          <w:u w:val="single"/>
        </w:rPr>
      </w:pPr>
      <w:r w:rsidRPr="00D55F79">
        <w:rPr>
          <w:b/>
          <w:sz w:val="28"/>
          <w:szCs w:val="28"/>
          <w:u w:val="single"/>
        </w:rPr>
        <w:t>3) Academic Rank and Promotion for Term Faculty at WVSU</w:t>
      </w:r>
    </w:p>
    <w:p w:rsidR="00236FBA" w:rsidRDefault="00236FBA" w:rsidP="00236FBA">
      <w:r>
        <w:t xml:space="preserve">The Faculty Senate approves the following policy as developed by Jeff </w:t>
      </w:r>
      <w:proofErr w:type="spellStart"/>
      <w:r>
        <w:t>Pietruszynski</w:t>
      </w:r>
      <w:proofErr w:type="spellEnd"/>
      <w:r>
        <w:t xml:space="preserve"> (Chair of Faculty Personnel Committee) and Rob Harris (Chair of Promotion and Tenure Committee), adjusted and approved by the Senate Executive Committee on March 27, 2020.</w:t>
      </w:r>
    </w:p>
    <w:p w:rsidR="00236FBA" w:rsidRDefault="00236FBA" w:rsidP="00236FBA"/>
    <w:p w:rsidR="00236FBA" w:rsidRPr="006E0959" w:rsidRDefault="00236FBA" w:rsidP="00236FBA">
      <w:r w:rsidRPr="006E0959">
        <w:t>ACADEMIC RANK:</w:t>
      </w:r>
    </w:p>
    <w:p w:rsidR="00236FBA" w:rsidRPr="006E0959" w:rsidRDefault="00236FBA" w:rsidP="00236FBA">
      <w:bookmarkStart w:id="1" w:name="D"/>
      <w:bookmarkStart w:id="2" w:name="E"/>
      <w:bookmarkEnd w:id="1"/>
      <w:bookmarkEnd w:id="2"/>
      <w:r>
        <w:t>A</w:t>
      </w:r>
      <w:r w:rsidRPr="006E0959">
        <w:t>. </w:t>
      </w:r>
      <w:r w:rsidRPr="006E0959">
        <w:rPr>
          <w:b/>
          <w:bCs/>
        </w:rPr>
        <w:t>Ranks for non-tenure-line (fixed-term) teaching faculty</w:t>
      </w:r>
    </w:p>
    <w:p w:rsidR="00236FBA" w:rsidRPr="004673A7" w:rsidRDefault="00236FBA" w:rsidP="00236FBA">
      <w:pPr>
        <w:numPr>
          <w:ilvl w:val="0"/>
          <w:numId w:val="1"/>
        </w:numPr>
        <w:spacing w:after="160" w:line="259" w:lineRule="auto"/>
      </w:pPr>
      <w:r>
        <w:rPr>
          <w:b/>
          <w:bCs/>
        </w:rPr>
        <w:t>Lecturer</w:t>
      </w:r>
      <w:r w:rsidRPr="006E0959">
        <w:rPr>
          <w:b/>
          <w:bCs/>
        </w:rPr>
        <w:t xml:space="preserve"> -</w:t>
      </w:r>
      <w:r w:rsidRPr="006E0959">
        <w:t xml:space="preserve"> A </w:t>
      </w:r>
      <w:r w:rsidRPr="004673A7">
        <w:t>lecturer or instructor should possess at least a master's degree or its equivalent, or be an active candidate for a terminal degree, in an academic field related to his/her teaching specialization.</w:t>
      </w:r>
    </w:p>
    <w:p w:rsidR="00236FBA" w:rsidRPr="004673A7" w:rsidRDefault="00236FBA" w:rsidP="00236FBA">
      <w:pPr>
        <w:numPr>
          <w:ilvl w:val="0"/>
          <w:numId w:val="1"/>
        </w:numPr>
        <w:spacing w:after="160" w:line="259" w:lineRule="auto"/>
      </w:pPr>
      <w:r w:rsidRPr="004673A7">
        <w:rPr>
          <w:b/>
          <w:bCs/>
        </w:rPr>
        <w:lastRenderedPageBreak/>
        <w:t>Senior Lecturer - </w:t>
      </w:r>
      <w:r w:rsidRPr="004673A7">
        <w:t>The Senior Lecturer should possess a terminal degree or its equivalent in an academic field related to his/her teaching specialization; alternatively, the Senior Lecturer  without a terminal degree should possess at least a master's degree or its equivalent in an academic field related to his/her teaching specialization; must have demonstrated ability as a teacher and adviser; and must have shown evidence of professional growth in teaching and/or mastery of content. </w:t>
      </w:r>
    </w:p>
    <w:p w:rsidR="00236FBA" w:rsidRPr="004673A7" w:rsidRDefault="00236FBA" w:rsidP="00236FBA">
      <w:pPr>
        <w:numPr>
          <w:ilvl w:val="0"/>
          <w:numId w:val="1"/>
        </w:numPr>
        <w:spacing w:after="160" w:line="259" w:lineRule="auto"/>
        <w:rPr>
          <w:b/>
          <w:bCs/>
        </w:rPr>
      </w:pPr>
      <w:r w:rsidRPr="004673A7">
        <w:rPr>
          <w:b/>
          <w:bCs/>
        </w:rPr>
        <w:t xml:space="preserve">Master Lecturer -  </w:t>
      </w:r>
      <w:r w:rsidRPr="004673A7">
        <w:t>The Master Lecturer should possess a terminal degree in an academic field related to his/her teaching specialization; must have demonstrated exceptional ability as a teacher and adviser while in the rank of Master Lecturer; and must have shown evidence of professional growth in teaching and/or mastery of content at a level of distinction beyond that of the associate teaching professor. </w:t>
      </w:r>
      <w:r w:rsidRPr="004673A7">
        <w:br/>
        <w:t> </w:t>
      </w:r>
    </w:p>
    <w:p w:rsidR="00236FBA" w:rsidRPr="004673A7" w:rsidRDefault="00236FBA" w:rsidP="00236FBA">
      <w:bookmarkStart w:id="3" w:name="F"/>
      <w:bookmarkEnd w:id="3"/>
      <w:r w:rsidRPr="004673A7">
        <w:t>B. </w:t>
      </w:r>
      <w:r w:rsidRPr="004673A7">
        <w:rPr>
          <w:b/>
          <w:bCs/>
        </w:rPr>
        <w:t>Ranks for non-tenure-line (fixed-term) research faculty</w:t>
      </w:r>
    </w:p>
    <w:p w:rsidR="00236FBA" w:rsidRPr="004673A7" w:rsidRDefault="00236FBA" w:rsidP="00236FBA">
      <w:pPr>
        <w:numPr>
          <w:ilvl w:val="0"/>
          <w:numId w:val="2"/>
        </w:numPr>
        <w:spacing w:after="160" w:line="259" w:lineRule="auto"/>
      </w:pPr>
      <w:r w:rsidRPr="004673A7">
        <w:rPr>
          <w:b/>
          <w:bCs/>
        </w:rPr>
        <w:t>Researcher - </w:t>
      </w:r>
      <w:r w:rsidRPr="004673A7">
        <w:t>The researcher should possess a master's degree or its equivalent, or be an active candidate for a terminal degree, in an academic field related to his/her research. </w:t>
      </w:r>
    </w:p>
    <w:p w:rsidR="00236FBA" w:rsidRPr="004673A7" w:rsidRDefault="00236FBA" w:rsidP="00236FBA">
      <w:pPr>
        <w:numPr>
          <w:ilvl w:val="0"/>
          <w:numId w:val="2"/>
        </w:numPr>
        <w:spacing w:after="160" w:line="259" w:lineRule="auto"/>
      </w:pPr>
      <w:r w:rsidRPr="004673A7">
        <w:rPr>
          <w:b/>
          <w:bCs/>
        </w:rPr>
        <w:t>Assistant Research Professor - </w:t>
      </w:r>
      <w:r w:rsidRPr="004673A7">
        <w:t>The assistant research professor should possess a terminal degree or its equivalent in an academic field related to his/her research. Alternatively, the assistant research professor without a terminal degree should possess at least a master's degree or its equivalent in an academic field related to his/her teaching specialization; must have demonstrated ability as a researcher; and must have shown evidence of professional growth and scholarship in his/her discipline.</w:t>
      </w:r>
    </w:p>
    <w:p w:rsidR="00236FBA" w:rsidRPr="004673A7" w:rsidRDefault="00236FBA" w:rsidP="00236FBA">
      <w:pPr>
        <w:numPr>
          <w:ilvl w:val="0"/>
          <w:numId w:val="2"/>
        </w:numPr>
        <w:spacing w:after="160" w:line="259" w:lineRule="auto"/>
      </w:pPr>
      <w:r w:rsidRPr="004673A7">
        <w:rPr>
          <w:b/>
          <w:bCs/>
        </w:rPr>
        <w:t>Associate Research Professor - </w:t>
      </w:r>
      <w:r w:rsidRPr="004673A7">
        <w:t>An associate research professor should possess a terminal degree or its equivalent in an academic field related to his/her research; must have demonstrated ability as a researcher; and must have shown evidence of professional growth and scholarship in his/her discipline. Alternatively, the associate research professor should possess at least a master's degree or its equivalent in an academic field related to his/her research; must have demonstrated exceptional ability as a researcher; and must have shown evidence of professional growth and scholarship in his/her discipline at a level of distinction beyond that of th</w:t>
      </w:r>
      <w:r>
        <w:t>e assistant research professor.</w:t>
      </w:r>
      <w:r w:rsidRPr="004673A7">
        <w:t> </w:t>
      </w:r>
    </w:p>
    <w:p w:rsidR="00236FBA" w:rsidRPr="004673A7" w:rsidRDefault="00236FBA" w:rsidP="00236FBA">
      <w:pPr>
        <w:numPr>
          <w:ilvl w:val="0"/>
          <w:numId w:val="2"/>
        </w:numPr>
        <w:spacing w:after="160" w:line="259" w:lineRule="auto"/>
      </w:pPr>
      <w:r w:rsidRPr="004673A7">
        <w:rPr>
          <w:b/>
          <w:bCs/>
        </w:rPr>
        <w:t>Research Professor - </w:t>
      </w:r>
      <w:r w:rsidRPr="004673A7">
        <w:t>A research professor should possess a terminal degree or its equivalent in an academic field related to his/her research; must have demonstrated exceptional ability as a researcher; and must have shown evidence of professional growth and scholarship in his/her discipline at a level of distinction beyond that of associate research professor.</w:t>
      </w:r>
    </w:p>
    <w:p w:rsidR="00236FBA" w:rsidRPr="004673A7" w:rsidRDefault="00236FBA" w:rsidP="00236FBA">
      <w:bookmarkStart w:id="4" w:name="G"/>
      <w:bookmarkEnd w:id="4"/>
    </w:p>
    <w:p w:rsidR="00236FBA" w:rsidRPr="004673A7" w:rsidRDefault="00236FBA" w:rsidP="00236FBA">
      <w:r w:rsidRPr="004673A7">
        <w:t>C. </w:t>
      </w:r>
      <w:bookmarkStart w:id="5" w:name="H"/>
      <w:bookmarkEnd w:id="5"/>
      <w:r w:rsidRPr="004673A7">
        <w:rPr>
          <w:b/>
          <w:bCs/>
        </w:rPr>
        <w:t>Ranks for clinical faculty without terminal degrees</w:t>
      </w:r>
    </w:p>
    <w:p w:rsidR="00236FBA" w:rsidRPr="004673A7" w:rsidRDefault="00236FBA" w:rsidP="00236FBA">
      <w:r w:rsidRPr="004673A7">
        <w:t>Clinical professor, also known as professor of practice, is an academic appointment made to a member of a profession who is associated with a university and engages in practical instruction of professional students. Units that designate faculty as “clinical” should establish, for faculty without terminal degrees, qualifications for each rank that track closely to the qualifications for research and teaching faculty without terminal degrees.</w:t>
      </w:r>
    </w:p>
    <w:p w:rsidR="00236FBA" w:rsidRPr="004673A7" w:rsidRDefault="00236FBA" w:rsidP="00236FBA">
      <w:pPr>
        <w:numPr>
          <w:ilvl w:val="0"/>
          <w:numId w:val="3"/>
        </w:numPr>
        <w:spacing w:after="160" w:line="259" w:lineRule="auto"/>
      </w:pPr>
      <w:r w:rsidRPr="004673A7">
        <w:t>Clinical Lecturer</w:t>
      </w:r>
    </w:p>
    <w:p w:rsidR="00236FBA" w:rsidRPr="004673A7" w:rsidRDefault="00236FBA" w:rsidP="00236FBA">
      <w:pPr>
        <w:numPr>
          <w:ilvl w:val="0"/>
          <w:numId w:val="3"/>
        </w:numPr>
        <w:spacing w:after="160" w:line="259" w:lineRule="auto"/>
      </w:pPr>
      <w:r w:rsidRPr="004673A7">
        <w:lastRenderedPageBreak/>
        <w:t>Senior Clinical Lecturer</w:t>
      </w:r>
    </w:p>
    <w:p w:rsidR="00236FBA" w:rsidRPr="004673A7" w:rsidRDefault="00236FBA" w:rsidP="00236FBA">
      <w:pPr>
        <w:numPr>
          <w:ilvl w:val="0"/>
          <w:numId w:val="3"/>
        </w:numPr>
        <w:spacing w:after="160" w:line="259" w:lineRule="auto"/>
      </w:pPr>
      <w:r w:rsidRPr="004673A7">
        <w:t>Master Clinical Lecturer</w:t>
      </w:r>
    </w:p>
    <w:p w:rsidR="00236FBA" w:rsidRPr="004673A7" w:rsidRDefault="00236FBA" w:rsidP="00236FBA">
      <w:bookmarkStart w:id="6" w:name="I"/>
      <w:bookmarkEnd w:id="6"/>
      <w:r w:rsidRPr="004673A7">
        <w:t>Table 1: Promotion of Non-Tenure-Track Faculty</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52"/>
        <w:gridCol w:w="1859"/>
        <w:gridCol w:w="2543"/>
        <w:gridCol w:w="2491"/>
      </w:tblGrid>
      <w:tr w:rsidR="00236FBA" w:rsidRPr="004673A7" w:rsidTr="00C56FF5">
        <w:tc>
          <w:tcPr>
            <w:tcW w:w="2752" w:type="dxa"/>
            <w:shd w:val="clear" w:color="auto" w:fill="auto"/>
            <w:tcMar>
              <w:top w:w="192" w:type="dxa"/>
              <w:left w:w="192" w:type="dxa"/>
              <w:bottom w:w="192" w:type="dxa"/>
              <w:right w:w="192" w:type="dxa"/>
            </w:tcMar>
            <w:hideMark/>
          </w:tcPr>
          <w:p w:rsidR="00236FBA" w:rsidRPr="004673A7" w:rsidRDefault="00236FBA" w:rsidP="00C56FF5">
            <w:r w:rsidRPr="004673A7">
              <w:t>Primary: teaching, pedagogy, admin. service in program</w:t>
            </w:r>
          </w:p>
          <w:p w:rsidR="00236FBA" w:rsidRPr="004673A7" w:rsidRDefault="00236FBA" w:rsidP="00C56FF5">
            <w:r w:rsidRPr="004673A7">
              <w:t>Secondary: professional activities, publications</w:t>
            </w:r>
          </w:p>
        </w:tc>
        <w:tc>
          <w:tcPr>
            <w:tcW w:w="1859" w:type="dxa"/>
            <w:shd w:val="clear" w:color="auto" w:fill="auto"/>
            <w:tcMar>
              <w:top w:w="192" w:type="dxa"/>
              <w:left w:w="192" w:type="dxa"/>
              <w:bottom w:w="192" w:type="dxa"/>
              <w:right w:w="192" w:type="dxa"/>
            </w:tcMar>
            <w:hideMark/>
          </w:tcPr>
          <w:p w:rsidR="00236FBA" w:rsidRPr="004673A7" w:rsidRDefault="00236FBA" w:rsidP="00C56FF5">
            <w:pPr>
              <w:rPr>
                <w:b/>
              </w:rPr>
            </w:pPr>
            <w:r w:rsidRPr="004673A7">
              <w:rPr>
                <w:b/>
              </w:rPr>
              <w:t>Lecturer</w:t>
            </w:r>
          </w:p>
          <w:p w:rsidR="00236FBA" w:rsidRPr="004673A7" w:rsidRDefault="00236FBA" w:rsidP="00C56FF5">
            <w:r w:rsidRPr="004673A7">
              <w:t>Terminal degree recommended</w:t>
            </w:r>
          </w:p>
        </w:tc>
        <w:tc>
          <w:tcPr>
            <w:tcW w:w="2543" w:type="dxa"/>
            <w:shd w:val="clear" w:color="auto" w:fill="auto"/>
            <w:tcMar>
              <w:top w:w="192" w:type="dxa"/>
              <w:left w:w="192" w:type="dxa"/>
              <w:bottom w:w="192" w:type="dxa"/>
              <w:right w:w="192" w:type="dxa"/>
            </w:tcMar>
            <w:hideMark/>
          </w:tcPr>
          <w:p w:rsidR="00236FBA" w:rsidRPr="004673A7" w:rsidRDefault="00236FBA" w:rsidP="00C56FF5">
            <w:pPr>
              <w:rPr>
                <w:b/>
              </w:rPr>
            </w:pPr>
            <w:r w:rsidRPr="004673A7">
              <w:rPr>
                <w:b/>
              </w:rPr>
              <w:t>Senior Lecturer</w:t>
            </w:r>
          </w:p>
          <w:p w:rsidR="00236FBA" w:rsidRPr="004673A7" w:rsidRDefault="00236FBA" w:rsidP="00C56FF5">
            <w:r w:rsidRPr="004673A7">
              <w:t>After </w:t>
            </w:r>
            <w:r w:rsidRPr="004673A7">
              <w:rPr>
                <w:b/>
                <w:bCs/>
              </w:rPr>
              <w:t>five years’</w:t>
            </w:r>
            <w:r w:rsidRPr="004673A7">
              <w:t> experience as Lecturer or equivalent, or earlier if initiated by chair/dean</w:t>
            </w:r>
          </w:p>
        </w:tc>
        <w:tc>
          <w:tcPr>
            <w:tcW w:w="2491" w:type="dxa"/>
            <w:shd w:val="clear" w:color="auto" w:fill="auto"/>
            <w:tcMar>
              <w:top w:w="192" w:type="dxa"/>
              <w:left w:w="192" w:type="dxa"/>
              <w:bottom w:w="192" w:type="dxa"/>
              <w:right w:w="192" w:type="dxa"/>
            </w:tcMar>
            <w:hideMark/>
          </w:tcPr>
          <w:p w:rsidR="00236FBA" w:rsidRPr="004673A7" w:rsidRDefault="00236FBA" w:rsidP="00C56FF5">
            <w:pPr>
              <w:rPr>
                <w:b/>
              </w:rPr>
            </w:pPr>
            <w:r w:rsidRPr="004673A7">
              <w:rPr>
                <w:b/>
              </w:rPr>
              <w:t>Master Lecturer</w:t>
            </w:r>
          </w:p>
          <w:p w:rsidR="00236FBA" w:rsidRPr="004673A7" w:rsidRDefault="00236FBA" w:rsidP="00C56FF5">
            <w:r w:rsidRPr="004673A7">
              <w:t>After </w:t>
            </w:r>
            <w:r w:rsidRPr="004673A7">
              <w:rPr>
                <w:b/>
                <w:bCs/>
              </w:rPr>
              <w:t>ten years’</w:t>
            </w:r>
            <w:r w:rsidRPr="004673A7">
              <w:t> experience, or earlier if initiated by chair/dean</w:t>
            </w:r>
          </w:p>
        </w:tc>
      </w:tr>
      <w:tr w:rsidR="00236FBA" w:rsidRPr="004673A7" w:rsidTr="00C56FF5">
        <w:tc>
          <w:tcPr>
            <w:tcW w:w="2752" w:type="dxa"/>
            <w:shd w:val="clear" w:color="auto" w:fill="auto"/>
            <w:tcMar>
              <w:top w:w="192" w:type="dxa"/>
              <w:left w:w="192" w:type="dxa"/>
              <w:bottom w:w="192" w:type="dxa"/>
              <w:right w:w="192" w:type="dxa"/>
            </w:tcMar>
            <w:hideMark/>
          </w:tcPr>
          <w:p w:rsidR="00236FBA" w:rsidRPr="004673A7" w:rsidRDefault="00236FBA" w:rsidP="00C56FF5">
            <w:r w:rsidRPr="004673A7">
              <w:t>Emphasis on teaching &amp; program development/ service</w:t>
            </w:r>
          </w:p>
          <w:p w:rsidR="00236FBA" w:rsidRPr="004673A7" w:rsidRDefault="00236FBA" w:rsidP="00C56FF5">
            <w:r w:rsidRPr="004673A7">
              <w:t>Research: not exempt but as defined in the college Faculty Expectations</w:t>
            </w:r>
          </w:p>
        </w:tc>
        <w:tc>
          <w:tcPr>
            <w:tcW w:w="1859" w:type="dxa"/>
            <w:shd w:val="clear" w:color="auto" w:fill="auto"/>
            <w:tcMar>
              <w:top w:w="192" w:type="dxa"/>
              <w:left w:w="192" w:type="dxa"/>
              <w:bottom w:w="192" w:type="dxa"/>
              <w:right w:w="192" w:type="dxa"/>
            </w:tcMar>
            <w:hideMark/>
          </w:tcPr>
          <w:p w:rsidR="00236FBA" w:rsidRPr="004673A7" w:rsidRDefault="00236FBA" w:rsidP="00C56FF5">
            <w:pPr>
              <w:rPr>
                <w:b/>
              </w:rPr>
            </w:pPr>
            <w:r w:rsidRPr="004673A7">
              <w:rPr>
                <w:b/>
              </w:rPr>
              <w:t>Clinical Lecturer</w:t>
            </w:r>
          </w:p>
          <w:p w:rsidR="00236FBA" w:rsidRPr="004673A7" w:rsidRDefault="00236FBA" w:rsidP="00C56FF5">
            <w:r w:rsidRPr="004673A7">
              <w:t>Terminal degree recommended</w:t>
            </w:r>
          </w:p>
        </w:tc>
        <w:tc>
          <w:tcPr>
            <w:tcW w:w="2543" w:type="dxa"/>
            <w:shd w:val="clear" w:color="auto" w:fill="auto"/>
            <w:tcMar>
              <w:top w:w="192" w:type="dxa"/>
              <w:left w:w="192" w:type="dxa"/>
              <w:bottom w:w="192" w:type="dxa"/>
              <w:right w:w="192" w:type="dxa"/>
            </w:tcMar>
            <w:hideMark/>
          </w:tcPr>
          <w:p w:rsidR="00236FBA" w:rsidRPr="004673A7" w:rsidRDefault="00236FBA" w:rsidP="00C56FF5">
            <w:pPr>
              <w:rPr>
                <w:b/>
              </w:rPr>
            </w:pPr>
            <w:r w:rsidRPr="004673A7">
              <w:rPr>
                <w:b/>
              </w:rPr>
              <w:t>Senior Clinical Lecturer</w:t>
            </w:r>
          </w:p>
          <w:p w:rsidR="00236FBA" w:rsidRPr="004673A7" w:rsidRDefault="00236FBA" w:rsidP="00C56FF5">
            <w:r w:rsidRPr="004673A7">
              <w:t>After </w:t>
            </w:r>
            <w:r w:rsidRPr="004673A7">
              <w:rPr>
                <w:b/>
                <w:bCs/>
              </w:rPr>
              <w:t>five years’</w:t>
            </w:r>
            <w:r w:rsidRPr="004673A7">
              <w:t> experience as Lecturer or equivalent, or earlier if initiated by chair/dean</w:t>
            </w:r>
          </w:p>
        </w:tc>
        <w:tc>
          <w:tcPr>
            <w:tcW w:w="2491" w:type="dxa"/>
            <w:shd w:val="clear" w:color="auto" w:fill="auto"/>
            <w:tcMar>
              <w:top w:w="192" w:type="dxa"/>
              <w:left w:w="192" w:type="dxa"/>
              <w:bottom w:w="192" w:type="dxa"/>
              <w:right w:w="192" w:type="dxa"/>
            </w:tcMar>
            <w:hideMark/>
          </w:tcPr>
          <w:p w:rsidR="00236FBA" w:rsidRPr="004673A7" w:rsidRDefault="00236FBA" w:rsidP="00C56FF5">
            <w:pPr>
              <w:rPr>
                <w:b/>
              </w:rPr>
            </w:pPr>
            <w:r w:rsidRPr="004673A7">
              <w:rPr>
                <w:b/>
              </w:rPr>
              <w:t>Master Clinical Lecturer</w:t>
            </w:r>
          </w:p>
          <w:p w:rsidR="00236FBA" w:rsidRPr="004673A7" w:rsidRDefault="00236FBA" w:rsidP="00C56FF5">
            <w:r w:rsidRPr="004673A7">
              <w:t>After </w:t>
            </w:r>
            <w:r w:rsidRPr="004673A7">
              <w:rPr>
                <w:b/>
                <w:bCs/>
              </w:rPr>
              <w:t>ten years’</w:t>
            </w:r>
            <w:r w:rsidRPr="004673A7">
              <w:t> experience, or earlier if initiated by chair/dean</w:t>
            </w:r>
          </w:p>
        </w:tc>
      </w:tr>
      <w:tr w:rsidR="00236FBA" w:rsidRPr="004673A7" w:rsidTr="00C56FF5">
        <w:tc>
          <w:tcPr>
            <w:tcW w:w="2752" w:type="dxa"/>
            <w:shd w:val="clear" w:color="auto" w:fill="auto"/>
            <w:tcMar>
              <w:top w:w="192" w:type="dxa"/>
              <w:left w:w="192" w:type="dxa"/>
              <w:bottom w:w="192" w:type="dxa"/>
              <w:right w:w="192" w:type="dxa"/>
            </w:tcMar>
            <w:hideMark/>
          </w:tcPr>
          <w:p w:rsidR="00236FBA" w:rsidRPr="004673A7" w:rsidRDefault="00236FBA" w:rsidP="00C56FF5">
            <w:r w:rsidRPr="004673A7">
              <w:t>Exclusively research;</w:t>
            </w:r>
          </w:p>
          <w:p w:rsidR="00236FBA" w:rsidRPr="004673A7" w:rsidRDefault="00236FBA" w:rsidP="00C56FF5">
            <w:r w:rsidRPr="004673A7">
              <w:t>grant funded</w:t>
            </w:r>
          </w:p>
        </w:tc>
        <w:tc>
          <w:tcPr>
            <w:tcW w:w="1859" w:type="dxa"/>
            <w:shd w:val="clear" w:color="auto" w:fill="auto"/>
            <w:tcMar>
              <w:top w:w="192" w:type="dxa"/>
              <w:left w:w="192" w:type="dxa"/>
              <w:bottom w:w="192" w:type="dxa"/>
              <w:right w:w="192" w:type="dxa"/>
            </w:tcMar>
            <w:hideMark/>
          </w:tcPr>
          <w:p w:rsidR="00236FBA" w:rsidRPr="004673A7" w:rsidRDefault="00236FBA" w:rsidP="00C56FF5">
            <w:pPr>
              <w:rPr>
                <w:b/>
              </w:rPr>
            </w:pPr>
            <w:r w:rsidRPr="004673A7">
              <w:rPr>
                <w:b/>
              </w:rPr>
              <w:t>Research Asst. Professor</w:t>
            </w:r>
          </w:p>
          <w:p w:rsidR="00236FBA" w:rsidRPr="004673A7" w:rsidRDefault="00236FBA" w:rsidP="00C56FF5">
            <w:r w:rsidRPr="004673A7">
              <w:t>Terminal Degree Required</w:t>
            </w:r>
          </w:p>
        </w:tc>
        <w:tc>
          <w:tcPr>
            <w:tcW w:w="2543" w:type="dxa"/>
            <w:shd w:val="clear" w:color="auto" w:fill="auto"/>
            <w:tcMar>
              <w:top w:w="192" w:type="dxa"/>
              <w:left w:w="192" w:type="dxa"/>
              <w:bottom w:w="192" w:type="dxa"/>
              <w:right w:w="192" w:type="dxa"/>
            </w:tcMar>
            <w:hideMark/>
          </w:tcPr>
          <w:p w:rsidR="00236FBA" w:rsidRPr="004673A7" w:rsidRDefault="00236FBA" w:rsidP="00C56FF5">
            <w:pPr>
              <w:rPr>
                <w:b/>
              </w:rPr>
            </w:pPr>
            <w:r w:rsidRPr="004673A7">
              <w:rPr>
                <w:b/>
              </w:rPr>
              <w:t>Research Assoc. Professor</w:t>
            </w:r>
          </w:p>
          <w:p w:rsidR="00236FBA" w:rsidRPr="004673A7" w:rsidRDefault="00236FBA" w:rsidP="00C56FF5">
            <w:r w:rsidRPr="004673A7">
              <w:t>After </w:t>
            </w:r>
            <w:r w:rsidRPr="004673A7">
              <w:rPr>
                <w:b/>
                <w:bCs/>
              </w:rPr>
              <w:t>six years’</w:t>
            </w:r>
            <w:r w:rsidRPr="004673A7">
              <w:t> experience as Research Asst. Prof. or equivalent, or earlier if initiated by chair/dean</w:t>
            </w:r>
          </w:p>
        </w:tc>
        <w:tc>
          <w:tcPr>
            <w:tcW w:w="2491" w:type="dxa"/>
            <w:shd w:val="clear" w:color="auto" w:fill="auto"/>
            <w:tcMar>
              <w:top w:w="192" w:type="dxa"/>
              <w:left w:w="192" w:type="dxa"/>
              <w:bottom w:w="192" w:type="dxa"/>
              <w:right w:w="192" w:type="dxa"/>
            </w:tcMar>
            <w:hideMark/>
          </w:tcPr>
          <w:p w:rsidR="00236FBA" w:rsidRPr="004673A7" w:rsidRDefault="00236FBA" w:rsidP="00C56FF5">
            <w:pPr>
              <w:rPr>
                <w:b/>
              </w:rPr>
            </w:pPr>
            <w:r w:rsidRPr="004673A7">
              <w:rPr>
                <w:b/>
              </w:rPr>
              <w:t>Research Professor</w:t>
            </w:r>
          </w:p>
          <w:p w:rsidR="00236FBA" w:rsidRPr="004673A7" w:rsidRDefault="00236FBA" w:rsidP="00C56FF5">
            <w:r w:rsidRPr="004673A7">
              <w:t>no minimal years of service expected; application when ready</w:t>
            </w:r>
          </w:p>
        </w:tc>
      </w:tr>
    </w:tbl>
    <w:p w:rsidR="00236FBA" w:rsidRPr="004673A7" w:rsidRDefault="00236FBA" w:rsidP="00236FBA"/>
    <w:p w:rsidR="00236FBA" w:rsidRPr="00D175C1" w:rsidRDefault="00236FBA" w:rsidP="004A2C04"/>
    <w:sectPr w:rsidR="00236FBA" w:rsidRPr="00D175C1" w:rsidSect="00FB788E">
      <w:pgSz w:w="12240" w:h="15840"/>
      <w:pgMar w:top="1440" w:right="1350" w:bottom="90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4090"/>
    <w:multiLevelType w:val="multilevel"/>
    <w:tmpl w:val="4D54F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DC4CC3"/>
    <w:multiLevelType w:val="multilevel"/>
    <w:tmpl w:val="1E6A3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5E7C1F"/>
    <w:multiLevelType w:val="multilevel"/>
    <w:tmpl w:val="F3A6B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87"/>
    <w:rsid w:val="00003D1E"/>
    <w:rsid w:val="00020F05"/>
    <w:rsid w:val="00045111"/>
    <w:rsid w:val="0006387A"/>
    <w:rsid w:val="00077D0B"/>
    <w:rsid w:val="000A3886"/>
    <w:rsid w:val="000A48BE"/>
    <w:rsid w:val="000B3466"/>
    <w:rsid w:val="000B3ABC"/>
    <w:rsid w:val="000B4072"/>
    <w:rsid w:val="000C56CD"/>
    <w:rsid w:val="000D6D95"/>
    <w:rsid w:val="000E6082"/>
    <w:rsid w:val="000F5B28"/>
    <w:rsid w:val="00100047"/>
    <w:rsid w:val="001323D3"/>
    <w:rsid w:val="00132C7C"/>
    <w:rsid w:val="00136A90"/>
    <w:rsid w:val="001377B5"/>
    <w:rsid w:val="001C60CC"/>
    <w:rsid w:val="001C6B2B"/>
    <w:rsid w:val="001C757D"/>
    <w:rsid w:val="001F3883"/>
    <w:rsid w:val="001F6EA9"/>
    <w:rsid w:val="002063C7"/>
    <w:rsid w:val="00212850"/>
    <w:rsid w:val="00231546"/>
    <w:rsid w:val="00231AA4"/>
    <w:rsid w:val="00236FBA"/>
    <w:rsid w:val="00246180"/>
    <w:rsid w:val="00265A52"/>
    <w:rsid w:val="00267586"/>
    <w:rsid w:val="002679C6"/>
    <w:rsid w:val="00273C8F"/>
    <w:rsid w:val="0029194A"/>
    <w:rsid w:val="00292C8C"/>
    <w:rsid w:val="00296C42"/>
    <w:rsid w:val="002A4287"/>
    <w:rsid w:val="002A5E68"/>
    <w:rsid w:val="002A62A3"/>
    <w:rsid w:val="002B1A8B"/>
    <w:rsid w:val="002B368B"/>
    <w:rsid w:val="002C0A0E"/>
    <w:rsid w:val="002C3001"/>
    <w:rsid w:val="00306404"/>
    <w:rsid w:val="00310E12"/>
    <w:rsid w:val="00315730"/>
    <w:rsid w:val="00341B87"/>
    <w:rsid w:val="0036289C"/>
    <w:rsid w:val="00366C3D"/>
    <w:rsid w:val="00390D30"/>
    <w:rsid w:val="003A42DF"/>
    <w:rsid w:val="003B1ECE"/>
    <w:rsid w:val="003B27F2"/>
    <w:rsid w:val="003E0180"/>
    <w:rsid w:val="003F5974"/>
    <w:rsid w:val="00400F07"/>
    <w:rsid w:val="00405C5F"/>
    <w:rsid w:val="00413F83"/>
    <w:rsid w:val="004320C0"/>
    <w:rsid w:val="00435475"/>
    <w:rsid w:val="00455786"/>
    <w:rsid w:val="004578A9"/>
    <w:rsid w:val="00462F10"/>
    <w:rsid w:val="00477E53"/>
    <w:rsid w:val="00486826"/>
    <w:rsid w:val="004A2C04"/>
    <w:rsid w:val="004C6E1E"/>
    <w:rsid w:val="004D22C1"/>
    <w:rsid w:val="00520B5F"/>
    <w:rsid w:val="00526146"/>
    <w:rsid w:val="0053504A"/>
    <w:rsid w:val="00536943"/>
    <w:rsid w:val="00542DD6"/>
    <w:rsid w:val="00546E94"/>
    <w:rsid w:val="00554317"/>
    <w:rsid w:val="00585B89"/>
    <w:rsid w:val="00585D6E"/>
    <w:rsid w:val="00594EE9"/>
    <w:rsid w:val="0059517A"/>
    <w:rsid w:val="005B4BF8"/>
    <w:rsid w:val="005F25AD"/>
    <w:rsid w:val="00636031"/>
    <w:rsid w:val="0064246F"/>
    <w:rsid w:val="006456CD"/>
    <w:rsid w:val="00652C4E"/>
    <w:rsid w:val="006648ED"/>
    <w:rsid w:val="00664A7E"/>
    <w:rsid w:val="006670D6"/>
    <w:rsid w:val="0067489B"/>
    <w:rsid w:val="00685DCA"/>
    <w:rsid w:val="00687DEF"/>
    <w:rsid w:val="00690333"/>
    <w:rsid w:val="00696731"/>
    <w:rsid w:val="006A28C8"/>
    <w:rsid w:val="006B4E3D"/>
    <w:rsid w:val="006B5522"/>
    <w:rsid w:val="006B563D"/>
    <w:rsid w:val="006B784A"/>
    <w:rsid w:val="006C18A0"/>
    <w:rsid w:val="006C4D7B"/>
    <w:rsid w:val="006D60E6"/>
    <w:rsid w:val="006E5B89"/>
    <w:rsid w:val="00700099"/>
    <w:rsid w:val="00711B58"/>
    <w:rsid w:val="007268FE"/>
    <w:rsid w:val="007302E2"/>
    <w:rsid w:val="00740664"/>
    <w:rsid w:val="00742706"/>
    <w:rsid w:val="00743F9C"/>
    <w:rsid w:val="00744A3C"/>
    <w:rsid w:val="007455D1"/>
    <w:rsid w:val="00750B8F"/>
    <w:rsid w:val="00754413"/>
    <w:rsid w:val="0077049D"/>
    <w:rsid w:val="0078384F"/>
    <w:rsid w:val="0078608F"/>
    <w:rsid w:val="007919F3"/>
    <w:rsid w:val="007A0CEE"/>
    <w:rsid w:val="007A5AA6"/>
    <w:rsid w:val="007A7D66"/>
    <w:rsid w:val="007B3886"/>
    <w:rsid w:val="007D081B"/>
    <w:rsid w:val="007D69D0"/>
    <w:rsid w:val="007E2E90"/>
    <w:rsid w:val="007E4B64"/>
    <w:rsid w:val="00800C1A"/>
    <w:rsid w:val="0081041E"/>
    <w:rsid w:val="008246FD"/>
    <w:rsid w:val="00824801"/>
    <w:rsid w:val="00853525"/>
    <w:rsid w:val="00855E84"/>
    <w:rsid w:val="0085674A"/>
    <w:rsid w:val="00873EDD"/>
    <w:rsid w:val="008741F3"/>
    <w:rsid w:val="00886BDA"/>
    <w:rsid w:val="00887389"/>
    <w:rsid w:val="008907FE"/>
    <w:rsid w:val="008A3392"/>
    <w:rsid w:val="008A7ED2"/>
    <w:rsid w:val="008C633B"/>
    <w:rsid w:val="008C67AC"/>
    <w:rsid w:val="008D2667"/>
    <w:rsid w:val="008D3E25"/>
    <w:rsid w:val="008F5A4B"/>
    <w:rsid w:val="00912FEC"/>
    <w:rsid w:val="009321AA"/>
    <w:rsid w:val="00932CE0"/>
    <w:rsid w:val="00935472"/>
    <w:rsid w:val="009368B7"/>
    <w:rsid w:val="0095680D"/>
    <w:rsid w:val="00966F4B"/>
    <w:rsid w:val="009944A3"/>
    <w:rsid w:val="009A54E3"/>
    <w:rsid w:val="009A5A1F"/>
    <w:rsid w:val="009C501C"/>
    <w:rsid w:val="009D293E"/>
    <w:rsid w:val="009E06BE"/>
    <w:rsid w:val="009E1455"/>
    <w:rsid w:val="009F43A3"/>
    <w:rsid w:val="00A11551"/>
    <w:rsid w:val="00A13786"/>
    <w:rsid w:val="00A40C75"/>
    <w:rsid w:val="00A41A43"/>
    <w:rsid w:val="00A43598"/>
    <w:rsid w:val="00A51B6F"/>
    <w:rsid w:val="00A737D1"/>
    <w:rsid w:val="00A80005"/>
    <w:rsid w:val="00AA092A"/>
    <w:rsid w:val="00AE6D4D"/>
    <w:rsid w:val="00B03D56"/>
    <w:rsid w:val="00B11698"/>
    <w:rsid w:val="00B16F01"/>
    <w:rsid w:val="00B44571"/>
    <w:rsid w:val="00B51C1D"/>
    <w:rsid w:val="00B643F8"/>
    <w:rsid w:val="00B7003C"/>
    <w:rsid w:val="00B72DB6"/>
    <w:rsid w:val="00B75DF9"/>
    <w:rsid w:val="00B81F7B"/>
    <w:rsid w:val="00BA1BE0"/>
    <w:rsid w:val="00BA6C85"/>
    <w:rsid w:val="00BC13B3"/>
    <w:rsid w:val="00BD6860"/>
    <w:rsid w:val="00BE7873"/>
    <w:rsid w:val="00BE7D60"/>
    <w:rsid w:val="00BF4C41"/>
    <w:rsid w:val="00BF63A3"/>
    <w:rsid w:val="00C109F8"/>
    <w:rsid w:val="00C10C33"/>
    <w:rsid w:val="00C24062"/>
    <w:rsid w:val="00C36B5D"/>
    <w:rsid w:val="00C54B8F"/>
    <w:rsid w:val="00C64DEE"/>
    <w:rsid w:val="00C710BB"/>
    <w:rsid w:val="00C736AD"/>
    <w:rsid w:val="00C8409E"/>
    <w:rsid w:val="00CA1174"/>
    <w:rsid w:val="00CA22DD"/>
    <w:rsid w:val="00CA799F"/>
    <w:rsid w:val="00CD30D0"/>
    <w:rsid w:val="00CF643A"/>
    <w:rsid w:val="00CF71DA"/>
    <w:rsid w:val="00D0324F"/>
    <w:rsid w:val="00D0681C"/>
    <w:rsid w:val="00D07103"/>
    <w:rsid w:val="00D175C1"/>
    <w:rsid w:val="00D37130"/>
    <w:rsid w:val="00D471D1"/>
    <w:rsid w:val="00D47CAF"/>
    <w:rsid w:val="00D629E7"/>
    <w:rsid w:val="00D874F0"/>
    <w:rsid w:val="00D917F2"/>
    <w:rsid w:val="00DA0A2F"/>
    <w:rsid w:val="00DB1AAE"/>
    <w:rsid w:val="00DD20DA"/>
    <w:rsid w:val="00DD2976"/>
    <w:rsid w:val="00DE5AFB"/>
    <w:rsid w:val="00DF73DC"/>
    <w:rsid w:val="00E065A2"/>
    <w:rsid w:val="00E26CA8"/>
    <w:rsid w:val="00E3204D"/>
    <w:rsid w:val="00E52CC5"/>
    <w:rsid w:val="00E54F2E"/>
    <w:rsid w:val="00E56A1F"/>
    <w:rsid w:val="00E57403"/>
    <w:rsid w:val="00E838B6"/>
    <w:rsid w:val="00E84CF4"/>
    <w:rsid w:val="00E85A27"/>
    <w:rsid w:val="00E87348"/>
    <w:rsid w:val="00E922C2"/>
    <w:rsid w:val="00E924CB"/>
    <w:rsid w:val="00EB3CA2"/>
    <w:rsid w:val="00EC5247"/>
    <w:rsid w:val="00EE0AA4"/>
    <w:rsid w:val="00F00FB4"/>
    <w:rsid w:val="00F11027"/>
    <w:rsid w:val="00F119EF"/>
    <w:rsid w:val="00F157CD"/>
    <w:rsid w:val="00F21CA1"/>
    <w:rsid w:val="00F26AB9"/>
    <w:rsid w:val="00F3312A"/>
    <w:rsid w:val="00F418F9"/>
    <w:rsid w:val="00F72152"/>
    <w:rsid w:val="00F75D0D"/>
    <w:rsid w:val="00F77BF5"/>
    <w:rsid w:val="00F82EDF"/>
    <w:rsid w:val="00FB788E"/>
    <w:rsid w:val="00FC2DA6"/>
    <w:rsid w:val="00FC41F9"/>
    <w:rsid w:val="00FC7121"/>
    <w:rsid w:val="00FE0547"/>
    <w:rsid w:val="00FE2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E4A4A-F5B2-4E41-BA9F-A43C0F0B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6C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3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3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527726">
      <w:bodyDiv w:val="1"/>
      <w:marLeft w:val="0"/>
      <w:marRight w:val="0"/>
      <w:marTop w:val="0"/>
      <w:marBottom w:val="0"/>
      <w:divBdr>
        <w:top w:val="none" w:sz="0" w:space="0" w:color="auto"/>
        <w:left w:val="none" w:sz="0" w:space="0" w:color="auto"/>
        <w:bottom w:val="none" w:sz="0" w:space="0" w:color="auto"/>
        <w:right w:val="none" w:sz="0" w:space="0" w:color="auto"/>
      </w:divBdr>
    </w:div>
    <w:div w:id="189079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43120-47AF-4556-97B5-B491FD158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2916</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dc:creator>
  <cp:keywords/>
  <dc:description/>
  <cp:lastModifiedBy>Wells</cp:lastModifiedBy>
  <cp:revision>2</cp:revision>
  <cp:lastPrinted>2020-04-03T17:00:00Z</cp:lastPrinted>
  <dcterms:created xsi:type="dcterms:W3CDTF">2020-05-12T17:31:00Z</dcterms:created>
  <dcterms:modified xsi:type="dcterms:W3CDTF">2020-05-12T17:31:00Z</dcterms:modified>
</cp:coreProperties>
</file>