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3AE3" w14:textId="77777777" w:rsidR="00305522" w:rsidRPr="00305522" w:rsidRDefault="00B45880" w:rsidP="00305522">
      <w:pPr>
        <w:rPr>
          <w:b/>
          <w:sz w:val="44"/>
          <w:szCs w:val="44"/>
        </w:rPr>
      </w:pPr>
      <w:r w:rsidRPr="00305522">
        <w:rPr>
          <w:b/>
          <w:sz w:val="44"/>
          <w:szCs w:val="44"/>
        </w:rPr>
        <w:t xml:space="preserve">Tax Treatment of Scholarships, </w:t>
      </w:r>
    </w:p>
    <w:p w14:paraId="20BEDC3A" w14:textId="77777777" w:rsidR="009124CE" w:rsidRPr="00305522" w:rsidRDefault="00B45880" w:rsidP="00305522">
      <w:pPr>
        <w:rPr>
          <w:b/>
          <w:sz w:val="44"/>
          <w:szCs w:val="44"/>
        </w:rPr>
      </w:pPr>
      <w:r w:rsidRPr="00305522">
        <w:rPr>
          <w:b/>
          <w:sz w:val="44"/>
          <w:szCs w:val="44"/>
        </w:rPr>
        <w:t>Fellowships, and Stipends</w:t>
      </w:r>
    </w:p>
    <w:p w14:paraId="551354AB" w14:textId="77777777" w:rsidR="00B45880" w:rsidRDefault="00B45880"/>
    <w:p w14:paraId="61A3F56B" w14:textId="77777777" w:rsidR="00B45880" w:rsidRPr="00305522" w:rsidRDefault="00B45880">
      <w:pPr>
        <w:rPr>
          <w:b/>
          <w:sz w:val="32"/>
          <w:szCs w:val="32"/>
        </w:rPr>
      </w:pPr>
      <w:r w:rsidRPr="00305522">
        <w:rPr>
          <w:b/>
          <w:sz w:val="32"/>
          <w:szCs w:val="32"/>
        </w:rPr>
        <w:t>COMMON TERMINOLOGY</w:t>
      </w:r>
    </w:p>
    <w:p w14:paraId="6A0AE6C8" w14:textId="77777777" w:rsidR="00B45880" w:rsidRPr="00B45880" w:rsidRDefault="00B45880">
      <w:pPr>
        <w:rPr>
          <w:b/>
          <w:u w:val="single"/>
        </w:rPr>
      </w:pPr>
    </w:p>
    <w:p w14:paraId="3F44697D" w14:textId="77777777" w:rsidR="00B45880" w:rsidRDefault="00B45880" w:rsidP="00B45880">
      <w:pPr>
        <w:pStyle w:val="ListParagraph"/>
        <w:numPr>
          <w:ilvl w:val="0"/>
          <w:numId w:val="1"/>
        </w:numPr>
      </w:pPr>
      <w:r w:rsidRPr="00B45880">
        <w:rPr>
          <w:b/>
        </w:rPr>
        <w:t>Stipend:</w:t>
      </w:r>
      <w:r>
        <w:t xml:space="preserve"> A stipend is provided as a subsistence allowance for fellows to help defray living expenses during the research training experience. It is not provided as a condition of employment with either the Federal government or the sponsoring institution.</w:t>
      </w:r>
    </w:p>
    <w:p w14:paraId="3E8FAA4A" w14:textId="77777777" w:rsidR="00B45880" w:rsidRDefault="00B45880" w:rsidP="00B45880">
      <w:pPr>
        <w:pStyle w:val="ListParagraph"/>
        <w:numPr>
          <w:ilvl w:val="0"/>
          <w:numId w:val="1"/>
        </w:numPr>
      </w:pPr>
      <w:r w:rsidRPr="00B45880">
        <w:rPr>
          <w:b/>
        </w:rPr>
        <w:t>Compensation:</w:t>
      </w:r>
      <w:r>
        <w:t xml:space="preserve"> Cash or noncash payments for services rendered. A payment need not </w:t>
      </w:r>
      <w:r w:rsidR="002F1222">
        <w:t>b</w:t>
      </w:r>
      <w:r>
        <w:t>e labeled as compensation to be considered compensation. Remuneration for perfor</w:t>
      </w:r>
      <w:r w:rsidR="0051529C">
        <w:t>ming research for the Corporation</w:t>
      </w:r>
      <w:r>
        <w:t xml:space="preserve"> is a form of compensation and not a fellowship.</w:t>
      </w:r>
    </w:p>
    <w:p w14:paraId="2884B678" w14:textId="77777777" w:rsidR="00B45880" w:rsidRDefault="00B45880" w:rsidP="00B45880">
      <w:pPr>
        <w:pStyle w:val="ListParagraph"/>
        <w:numPr>
          <w:ilvl w:val="0"/>
          <w:numId w:val="1"/>
        </w:numPr>
      </w:pPr>
      <w:r w:rsidRPr="00B45880">
        <w:rPr>
          <w:b/>
        </w:rPr>
        <w:t>Employee:</w:t>
      </w:r>
      <w:r>
        <w:t xml:space="preserve"> any individual, who, under the common law rules applicable in determining the employer-employee relationship, has the status of an employee.</w:t>
      </w:r>
    </w:p>
    <w:p w14:paraId="0658EE6B" w14:textId="77777777" w:rsidR="00B45880" w:rsidRDefault="00B45880" w:rsidP="00B45880">
      <w:pPr>
        <w:pStyle w:val="ListParagraph"/>
        <w:numPr>
          <w:ilvl w:val="0"/>
          <w:numId w:val="1"/>
        </w:numPr>
      </w:pPr>
      <w:r w:rsidRPr="00B45880">
        <w:rPr>
          <w:b/>
        </w:rPr>
        <w:t>Employment</w:t>
      </w:r>
      <w:r>
        <w:t>: Any service, of whatever nature, performance by an employee for the person employing him, irrespective of citizenship or residency of such employee.</w:t>
      </w:r>
    </w:p>
    <w:p w14:paraId="1CBF23AA" w14:textId="77777777" w:rsidR="00B45880" w:rsidRDefault="00B45880" w:rsidP="00B45880">
      <w:pPr>
        <w:pStyle w:val="ListParagraph"/>
        <w:numPr>
          <w:ilvl w:val="0"/>
          <w:numId w:val="1"/>
        </w:numPr>
      </w:pPr>
      <w:r w:rsidRPr="00B45880">
        <w:rPr>
          <w:b/>
        </w:rPr>
        <w:t>Fellowship:</w:t>
      </w:r>
      <w:r>
        <w:t xml:space="preserve"> An amount given to support a student’s research, usually at the graduate level.</w:t>
      </w:r>
    </w:p>
    <w:p w14:paraId="6BC7EB59" w14:textId="77777777" w:rsidR="00B45880" w:rsidRDefault="00B45880" w:rsidP="00B45880">
      <w:pPr>
        <w:pStyle w:val="ListParagraph"/>
        <w:numPr>
          <w:ilvl w:val="0"/>
          <w:numId w:val="1"/>
        </w:numPr>
      </w:pPr>
      <w:r w:rsidRPr="00B45880">
        <w:rPr>
          <w:b/>
        </w:rPr>
        <w:t>Grant:</w:t>
      </w:r>
      <w:r>
        <w:t xml:space="preserve"> Another term for scholarship/fellowship that implies the student is not required to repay the amount.</w:t>
      </w:r>
    </w:p>
    <w:p w14:paraId="6F9CB72E" w14:textId="77777777" w:rsidR="00B45880" w:rsidRDefault="00B45880" w:rsidP="00B45880">
      <w:pPr>
        <w:pStyle w:val="ListParagraph"/>
        <w:numPr>
          <w:ilvl w:val="0"/>
          <w:numId w:val="1"/>
        </w:numPr>
      </w:pPr>
      <w:r w:rsidRPr="00B45880">
        <w:rPr>
          <w:b/>
        </w:rPr>
        <w:t>Prize or Award:</w:t>
      </w:r>
      <w:r>
        <w:t xml:space="preserve"> Any form of award or payment to a student who has entered and won a contest or competition. Examples include raffles, contests and competitions for the best design or story, or being the top performer.</w:t>
      </w:r>
    </w:p>
    <w:p w14:paraId="6A2C57AB" w14:textId="77777777" w:rsidR="00B45880" w:rsidRDefault="00B45880" w:rsidP="00B45880">
      <w:pPr>
        <w:pStyle w:val="ListParagraph"/>
        <w:numPr>
          <w:ilvl w:val="0"/>
          <w:numId w:val="1"/>
        </w:numPr>
      </w:pPr>
      <w:r w:rsidRPr="00B45880">
        <w:rPr>
          <w:b/>
        </w:rPr>
        <w:t>Scholarship:</w:t>
      </w:r>
      <w:r>
        <w:t xml:space="preserve"> To be considered a scholarship, an amount does not need to be formally designated as such. Generally, a scholarship is an amount paid for the benefit of a student, to aid the student in the pursuit of study at an educational institution. A scholarship or fellowship payment may be in the form of a reduction in the amount owed by the payee to an educational organization for tuition, room and board, or other fees (tuition waiver).</w:t>
      </w:r>
    </w:p>
    <w:p w14:paraId="422C33FB" w14:textId="77777777" w:rsidR="005A4A35" w:rsidRDefault="005A4A35" w:rsidP="005A4A35"/>
    <w:p w14:paraId="34D2FD80" w14:textId="77777777" w:rsidR="005A4A35" w:rsidRDefault="005A4A35" w:rsidP="005A4A35"/>
    <w:p w14:paraId="1D53DEC2" w14:textId="77777777" w:rsidR="00B45880" w:rsidRDefault="00B45880" w:rsidP="00B45880"/>
    <w:p w14:paraId="3595885A" w14:textId="77777777" w:rsidR="00B45880" w:rsidRPr="00305522" w:rsidRDefault="00B45880" w:rsidP="00B45880">
      <w:pPr>
        <w:rPr>
          <w:b/>
          <w:sz w:val="32"/>
          <w:szCs w:val="32"/>
        </w:rPr>
      </w:pPr>
      <w:r w:rsidRPr="00305522">
        <w:rPr>
          <w:b/>
          <w:sz w:val="32"/>
          <w:szCs w:val="32"/>
        </w:rPr>
        <w:lastRenderedPageBreak/>
        <w:t>PAYMENT METHODS</w:t>
      </w:r>
    </w:p>
    <w:p w14:paraId="449CB04C" w14:textId="77777777" w:rsidR="00B45880" w:rsidRDefault="00B45880" w:rsidP="00B45880">
      <w:pPr>
        <w:rPr>
          <w:b/>
          <w:i/>
          <w:u w:val="single"/>
        </w:rPr>
      </w:pPr>
    </w:p>
    <w:p w14:paraId="4A243803" w14:textId="77777777" w:rsidR="00B45880" w:rsidRPr="00305522" w:rsidRDefault="00B45880" w:rsidP="00B45880">
      <w:pPr>
        <w:rPr>
          <w:b/>
          <w:sz w:val="28"/>
          <w:szCs w:val="28"/>
        </w:rPr>
      </w:pPr>
      <w:r w:rsidRPr="00305522">
        <w:rPr>
          <w:b/>
          <w:sz w:val="28"/>
          <w:szCs w:val="28"/>
        </w:rPr>
        <w:t>WAGES (W-2)</w:t>
      </w:r>
    </w:p>
    <w:p w14:paraId="6A85B436" w14:textId="77777777" w:rsidR="00B45880" w:rsidRDefault="00B45880" w:rsidP="00B45880">
      <w:pPr>
        <w:pStyle w:val="ListParagraph"/>
        <w:numPr>
          <w:ilvl w:val="0"/>
          <w:numId w:val="2"/>
        </w:numPr>
      </w:pPr>
      <w:r>
        <w:t xml:space="preserve">Wages are payment for </w:t>
      </w:r>
      <w:r>
        <w:rPr>
          <w:u w:val="single"/>
        </w:rPr>
        <w:t>services rendered.</w:t>
      </w:r>
      <w:r>
        <w:t xml:space="preserve"> This includes work provided by degree candidates (undergraduate and graduate students) and non-degree candidates (e.g., post-doctoral students and fellows).</w:t>
      </w:r>
    </w:p>
    <w:p w14:paraId="265F75C1" w14:textId="77777777" w:rsidR="00B45880" w:rsidRDefault="00B45880" w:rsidP="00B45880">
      <w:pPr>
        <w:pStyle w:val="ListParagraph"/>
        <w:numPr>
          <w:ilvl w:val="0"/>
          <w:numId w:val="2"/>
        </w:numPr>
      </w:pPr>
      <w:r>
        <w:t>These payments are processed through the payroll system and Federal, State and FICA taxes will be withheld according to IRS, Social Security Administration and State Department of Taxation regulations.</w:t>
      </w:r>
    </w:p>
    <w:p w14:paraId="37352370" w14:textId="77777777" w:rsidR="00B45880" w:rsidRDefault="00B45880" w:rsidP="00B45880">
      <w:pPr>
        <w:pStyle w:val="ListParagraph"/>
        <w:numPr>
          <w:ilvl w:val="0"/>
          <w:numId w:val="2"/>
        </w:numPr>
      </w:pPr>
      <w:r>
        <w:t>All of these individuals are considered employees of the Corporation and as such will receive a W-2 form at year-end reporting their total income and taxes withheld.</w:t>
      </w:r>
    </w:p>
    <w:p w14:paraId="0C9D4D9E" w14:textId="77777777" w:rsidR="00305522" w:rsidRDefault="00305522" w:rsidP="00305522">
      <w:pPr>
        <w:tabs>
          <w:tab w:val="left" w:pos="1260"/>
        </w:tabs>
        <w:ind w:left="360"/>
      </w:pPr>
      <w:r>
        <w:tab/>
      </w:r>
    </w:p>
    <w:p w14:paraId="09B75648" w14:textId="77777777" w:rsidR="00B45880" w:rsidRPr="00305522" w:rsidRDefault="00B45880" w:rsidP="00B45880">
      <w:pPr>
        <w:rPr>
          <w:b/>
          <w:sz w:val="28"/>
          <w:szCs w:val="28"/>
        </w:rPr>
      </w:pPr>
      <w:r w:rsidRPr="00305522">
        <w:rPr>
          <w:b/>
          <w:sz w:val="28"/>
          <w:szCs w:val="28"/>
        </w:rPr>
        <w:t>SCHOLARSHIPS, FELLOWSHIPS, AND STIPENDS (1099-MISC OR 1098-T)</w:t>
      </w:r>
    </w:p>
    <w:p w14:paraId="5975BE41" w14:textId="77777777" w:rsidR="00381566" w:rsidRDefault="00381566" w:rsidP="00381566">
      <w:pPr>
        <w:pStyle w:val="ListParagraph"/>
        <w:numPr>
          <w:ilvl w:val="0"/>
          <w:numId w:val="3"/>
        </w:numPr>
      </w:pPr>
      <w:r>
        <w:t xml:space="preserve">Scholarships and fellowships are payments to students for which </w:t>
      </w:r>
      <w:r>
        <w:rPr>
          <w:u w:val="single"/>
        </w:rPr>
        <w:t>no services</w:t>
      </w:r>
      <w:r>
        <w:t xml:space="preserve"> are rendered or required. These awards are granted for the purpose of off-setting the cost of tuition, room and board, fees and/or other incidental expe</w:t>
      </w:r>
      <w:r w:rsidR="0051529C">
        <w:t>nses of attending the Corporation</w:t>
      </w:r>
      <w:r>
        <w:t>.</w:t>
      </w:r>
    </w:p>
    <w:p w14:paraId="1510A300" w14:textId="77777777" w:rsidR="00381566" w:rsidRDefault="00381566" w:rsidP="00381566">
      <w:pPr>
        <w:pStyle w:val="ListParagraph"/>
        <w:numPr>
          <w:ilvl w:val="0"/>
          <w:numId w:val="3"/>
        </w:numPr>
      </w:pPr>
      <w:r>
        <w:t>The IRS classifies scholarship/fellowship payments as Miscellaneous Income. No taxes are withheld from these p</w:t>
      </w:r>
      <w:r w:rsidR="0051529C">
        <w:t>ayments, although the Corporation</w:t>
      </w:r>
      <w:r>
        <w:t xml:space="preserve"> </w:t>
      </w:r>
      <w:r w:rsidR="002F1222">
        <w:rPr>
          <w:u w:val="single"/>
        </w:rPr>
        <w:t xml:space="preserve">does </w:t>
      </w:r>
      <w:r w:rsidR="002F1222">
        <w:t>report</w:t>
      </w:r>
      <w:r>
        <w:t xml:space="preserve"> the payments to the IRS. If the scholarship/fellowship awards are not used by the student to offset the cost of qualified tuition and certain other expenses specified in the tax law then these mon</w:t>
      </w:r>
      <w:r w:rsidR="00C61E99">
        <w:t>ies</w:t>
      </w:r>
      <w:r>
        <w:t xml:space="preserve"> </w:t>
      </w:r>
      <w:r>
        <w:rPr>
          <w:u w:val="single"/>
        </w:rPr>
        <w:t>should</w:t>
      </w:r>
      <w:r>
        <w:t xml:space="preserve"> be reported as income to the IRS by the student.</w:t>
      </w:r>
    </w:p>
    <w:p w14:paraId="3A49F33E" w14:textId="77777777" w:rsidR="00381566" w:rsidRDefault="00381566" w:rsidP="00381566"/>
    <w:p w14:paraId="42056CDC" w14:textId="77777777" w:rsidR="00305522" w:rsidRDefault="00305522" w:rsidP="00381566"/>
    <w:p w14:paraId="652E1DDE" w14:textId="77777777" w:rsidR="00381566" w:rsidRPr="00305522" w:rsidRDefault="00381566" w:rsidP="00381566">
      <w:pPr>
        <w:rPr>
          <w:b/>
          <w:sz w:val="32"/>
          <w:szCs w:val="32"/>
        </w:rPr>
      </w:pPr>
      <w:r w:rsidRPr="00305522">
        <w:rPr>
          <w:b/>
          <w:sz w:val="32"/>
          <w:szCs w:val="32"/>
        </w:rPr>
        <w:t>FEDERAL INCOME TAX</w:t>
      </w:r>
    </w:p>
    <w:p w14:paraId="353CC7B5" w14:textId="77777777" w:rsidR="00381566" w:rsidRDefault="00381566" w:rsidP="00305522">
      <w:pPr>
        <w:ind w:firstLine="720"/>
        <w:rPr>
          <w:b/>
          <w:i/>
          <w:u w:val="single"/>
        </w:rPr>
      </w:pPr>
    </w:p>
    <w:p w14:paraId="77C64078" w14:textId="77777777" w:rsidR="00381566" w:rsidRPr="00305522" w:rsidRDefault="00381566" w:rsidP="00381566">
      <w:pPr>
        <w:rPr>
          <w:b/>
          <w:sz w:val="28"/>
          <w:szCs w:val="28"/>
        </w:rPr>
      </w:pPr>
      <w:r w:rsidRPr="00305522">
        <w:rPr>
          <w:b/>
          <w:sz w:val="28"/>
          <w:szCs w:val="28"/>
        </w:rPr>
        <w:t>WAGE PAYMENTS</w:t>
      </w:r>
    </w:p>
    <w:p w14:paraId="0BA43402" w14:textId="77777777" w:rsidR="00381566" w:rsidRPr="00381566" w:rsidRDefault="00381566" w:rsidP="00381566">
      <w:pPr>
        <w:pStyle w:val="ListParagraph"/>
        <w:numPr>
          <w:ilvl w:val="0"/>
          <w:numId w:val="4"/>
        </w:numPr>
        <w:rPr>
          <w:b/>
          <w:i/>
        </w:rPr>
      </w:pPr>
      <w:r>
        <w:t xml:space="preserve">Students’ wages are reported on Form W-2 (Wage and Tax Statement). All wage payments are subject to </w:t>
      </w:r>
      <w:r w:rsidR="002F1222">
        <w:t>Federal and</w:t>
      </w:r>
      <w:r>
        <w:t xml:space="preserve"> State income taxes.</w:t>
      </w:r>
    </w:p>
    <w:p w14:paraId="356BE04F" w14:textId="77777777" w:rsidR="00381566" w:rsidRPr="00381566" w:rsidRDefault="00381566" w:rsidP="00381566">
      <w:pPr>
        <w:pStyle w:val="ListParagraph"/>
        <w:numPr>
          <w:ilvl w:val="0"/>
          <w:numId w:val="4"/>
        </w:numPr>
        <w:rPr>
          <w:b/>
          <w:i/>
        </w:rPr>
      </w:pPr>
      <w:r>
        <w:t>Students with simple tax reporting requirements may be able to file the IRS Short Form – U.S. Individual Income Tax Return</w:t>
      </w:r>
    </w:p>
    <w:p w14:paraId="0688F74B" w14:textId="77777777" w:rsidR="00381566" w:rsidRDefault="00381566" w:rsidP="00381566">
      <w:pPr>
        <w:rPr>
          <w:b/>
          <w:i/>
        </w:rPr>
      </w:pPr>
    </w:p>
    <w:p w14:paraId="4F839B63" w14:textId="77777777" w:rsidR="00305522" w:rsidRDefault="00305522" w:rsidP="00381566">
      <w:pPr>
        <w:rPr>
          <w:b/>
          <w:i/>
        </w:rPr>
      </w:pPr>
    </w:p>
    <w:p w14:paraId="06ED0613" w14:textId="77777777" w:rsidR="00381566" w:rsidRPr="00305522" w:rsidRDefault="00381566" w:rsidP="00381566">
      <w:pPr>
        <w:rPr>
          <w:b/>
          <w:sz w:val="32"/>
          <w:szCs w:val="32"/>
        </w:rPr>
      </w:pPr>
      <w:r w:rsidRPr="00305522">
        <w:rPr>
          <w:b/>
          <w:sz w:val="32"/>
          <w:szCs w:val="32"/>
        </w:rPr>
        <w:lastRenderedPageBreak/>
        <w:t>SCHOLARSHIP, FELLOWSHIPS, AND STIPENDS</w:t>
      </w:r>
    </w:p>
    <w:p w14:paraId="4E0EC9F6" w14:textId="77777777" w:rsidR="00381566" w:rsidRDefault="00381566" w:rsidP="00305522">
      <w:pPr>
        <w:ind w:firstLine="720"/>
        <w:rPr>
          <w:b/>
          <w:i/>
        </w:rPr>
      </w:pPr>
    </w:p>
    <w:p w14:paraId="2866D203" w14:textId="77777777" w:rsidR="00381566" w:rsidRPr="00305522" w:rsidRDefault="00305522" w:rsidP="00381566">
      <w:pPr>
        <w:rPr>
          <w:b/>
          <w:sz w:val="28"/>
          <w:szCs w:val="28"/>
        </w:rPr>
      </w:pPr>
      <w:r>
        <w:rPr>
          <w:b/>
          <w:sz w:val="28"/>
          <w:szCs w:val="28"/>
        </w:rPr>
        <w:t>Degree Candidates</w:t>
      </w:r>
    </w:p>
    <w:p w14:paraId="0B93894C" w14:textId="77777777" w:rsidR="00381566" w:rsidRPr="00E86E3A" w:rsidRDefault="00E86E3A" w:rsidP="00E86E3A">
      <w:pPr>
        <w:pStyle w:val="ListParagraph"/>
        <w:numPr>
          <w:ilvl w:val="0"/>
          <w:numId w:val="5"/>
        </w:numPr>
        <w:rPr>
          <w:b/>
          <w:u w:val="single"/>
        </w:rPr>
      </w:pPr>
      <w:r>
        <w:t>The tax exclusion for scholarships and fellowships is specifically defined in Section 117 of the IRS Tax Code. Scholarships and fellowships are excluded from gross income if they are used for certain tuition, fees, books, supplies, and equipment required for courses of instruction incurred by an individual who is a candidate for a degree.</w:t>
      </w:r>
    </w:p>
    <w:p w14:paraId="3606D1AC" w14:textId="77777777" w:rsidR="00E86E3A" w:rsidRPr="00E86E3A" w:rsidRDefault="00E86E3A" w:rsidP="00E86E3A">
      <w:pPr>
        <w:pStyle w:val="ListParagraph"/>
        <w:numPr>
          <w:ilvl w:val="0"/>
          <w:numId w:val="5"/>
        </w:numPr>
        <w:rPr>
          <w:b/>
          <w:u w:val="single"/>
        </w:rPr>
      </w:pPr>
      <w:r>
        <w:t xml:space="preserve">If scholarships and fellowships are used for expenses other than tuition, fees, books and supplies, then per IRS regulations, </w:t>
      </w:r>
      <w:r w:rsidRPr="00305522">
        <w:rPr>
          <w:b/>
          <w:color w:val="000000" w:themeColor="text1"/>
        </w:rPr>
        <w:t>the portion used for room, board and other incidental expenses is considered taxable income and should be reported to the IRS by the student.</w:t>
      </w:r>
      <w:r w:rsidRPr="00C61E99">
        <w:rPr>
          <w:color w:val="FF0000"/>
        </w:rPr>
        <w:t xml:space="preserve"> </w:t>
      </w:r>
      <w:r>
        <w:t>In addition, any portion of amounts received as a grant representing payment for teaching, research or other services required as a condition of receiving the grant should be reported as taxable income.</w:t>
      </w:r>
    </w:p>
    <w:p w14:paraId="3EA67BA4" w14:textId="77777777" w:rsidR="00E86E3A" w:rsidRPr="00E86E3A" w:rsidRDefault="00E86E3A" w:rsidP="00E86E3A">
      <w:pPr>
        <w:pStyle w:val="ListParagraph"/>
        <w:numPr>
          <w:ilvl w:val="0"/>
          <w:numId w:val="5"/>
        </w:numPr>
        <w:rPr>
          <w:b/>
          <w:u w:val="single"/>
        </w:rPr>
      </w:pPr>
      <w:r>
        <w:t>It is the responsibility of the student to report scholarship payments as taxable income when the funds are used for non-tuition payment purposes. Failure to file and make quarterly payments may result in tax penalties.</w:t>
      </w:r>
    </w:p>
    <w:p w14:paraId="13E21959" w14:textId="77777777" w:rsidR="00E86E3A" w:rsidRDefault="00E86E3A" w:rsidP="00E86E3A">
      <w:pPr>
        <w:rPr>
          <w:b/>
          <w:u w:val="single"/>
        </w:rPr>
      </w:pPr>
    </w:p>
    <w:p w14:paraId="63F32BD8" w14:textId="77777777" w:rsidR="00E86E3A" w:rsidRDefault="00E86E3A" w:rsidP="00E86E3A">
      <w:pPr>
        <w:rPr>
          <w:b/>
          <w:u w:val="single"/>
        </w:rPr>
      </w:pPr>
    </w:p>
    <w:p w14:paraId="02E5E65F" w14:textId="77777777" w:rsidR="00E86E3A" w:rsidRPr="00305522" w:rsidRDefault="00305522" w:rsidP="00E86E3A">
      <w:pPr>
        <w:rPr>
          <w:b/>
          <w:sz w:val="28"/>
          <w:szCs w:val="28"/>
        </w:rPr>
      </w:pPr>
      <w:r>
        <w:rPr>
          <w:b/>
          <w:sz w:val="28"/>
          <w:szCs w:val="28"/>
        </w:rPr>
        <w:t>Non-Degree Candidates</w:t>
      </w:r>
    </w:p>
    <w:p w14:paraId="48C38960" w14:textId="77777777" w:rsidR="00E86E3A" w:rsidRPr="00E86E3A" w:rsidRDefault="00E86E3A" w:rsidP="00E86E3A">
      <w:pPr>
        <w:pStyle w:val="ListParagraph"/>
        <w:numPr>
          <w:ilvl w:val="0"/>
          <w:numId w:val="6"/>
        </w:numPr>
        <w:rPr>
          <w:b/>
          <w:u w:val="single"/>
        </w:rPr>
      </w:pPr>
      <w:r>
        <w:t>Scholarship and fellowship payments to non-degree candidates are taxable income for Federal and State Income taxes.</w:t>
      </w:r>
    </w:p>
    <w:p w14:paraId="107A10EE" w14:textId="77777777" w:rsidR="00E86E3A" w:rsidRDefault="00E86E3A" w:rsidP="00E86E3A">
      <w:pPr>
        <w:rPr>
          <w:b/>
          <w:u w:val="single"/>
        </w:rPr>
      </w:pPr>
    </w:p>
    <w:p w14:paraId="35E837E7" w14:textId="77777777" w:rsidR="00E86E3A" w:rsidRDefault="00305522" w:rsidP="00E86E3A">
      <w:pPr>
        <w:rPr>
          <w:b/>
          <w:sz w:val="28"/>
          <w:szCs w:val="28"/>
        </w:rPr>
      </w:pPr>
      <w:r>
        <w:rPr>
          <w:b/>
          <w:sz w:val="28"/>
          <w:szCs w:val="28"/>
        </w:rPr>
        <w:t>EXAMPLES</w:t>
      </w:r>
    </w:p>
    <w:p w14:paraId="28B570A9" w14:textId="77777777" w:rsidR="00E86E3A" w:rsidRDefault="00E86E3A" w:rsidP="00E86E3A">
      <w:pPr>
        <w:pStyle w:val="ListParagraph"/>
        <w:numPr>
          <w:ilvl w:val="0"/>
          <w:numId w:val="6"/>
        </w:numPr>
        <w:rPr>
          <w:b/>
        </w:rPr>
      </w:pPr>
      <w:r>
        <w:rPr>
          <w:b/>
        </w:rPr>
        <w:t>EXAMPLE 1</w:t>
      </w:r>
    </w:p>
    <w:p w14:paraId="53AFD1C5" w14:textId="77777777" w:rsidR="00E86E3A" w:rsidRDefault="00E86E3A" w:rsidP="00E86E3A">
      <w:pPr>
        <w:pStyle w:val="ListParagraph"/>
      </w:pPr>
      <w:r>
        <w:t xml:space="preserve">Tammy Graves receives a $6,000 fellowship grant that is not designated for any specific use. Tammy </w:t>
      </w:r>
      <w:r w:rsidR="002F1222">
        <w:t>i</w:t>
      </w:r>
      <w:r>
        <w:t>s a degree candidate. She spends $5,500 for tuition and $500 for her personal expenses. Tammy is required to include $500</w:t>
      </w:r>
      <w:r w:rsidR="00A172E3">
        <w:t xml:space="preserve"> </w:t>
      </w:r>
      <w:r w:rsidR="00C61E99">
        <w:t xml:space="preserve">as </w:t>
      </w:r>
      <w:r w:rsidR="00A172E3">
        <w:t>income.</w:t>
      </w:r>
    </w:p>
    <w:p w14:paraId="1B0F4C42" w14:textId="77777777" w:rsidR="00A172E3" w:rsidRDefault="00A172E3" w:rsidP="00A172E3"/>
    <w:p w14:paraId="34ED43B6" w14:textId="77777777" w:rsidR="00A172E3" w:rsidRDefault="00A172E3" w:rsidP="00A172E3">
      <w:r>
        <w:t xml:space="preserve">A </w:t>
      </w:r>
      <w:r>
        <w:rPr>
          <w:b/>
        </w:rPr>
        <w:t xml:space="preserve">scholarship </w:t>
      </w:r>
      <w:r>
        <w:t>generally is an amount paid for the benefit of a student at an educational institution to aid in the pursuit of studies. The student may be in either a graduate or an undergraduate program.</w:t>
      </w:r>
    </w:p>
    <w:p w14:paraId="0D4B7EC1" w14:textId="77777777" w:rsidR="00305522" w:rsidRDefault="00305522" w:rsidP="00A172E3"/>
    <w:p w14:paraId="244A593A" w14:textId="77777777" w:rsidR="00305522" w:rsidRPr="00A172E3" w:rsidRDefault="00305522" w:rsidP="00A172E3"/>
    <w:p w14:paraId="534DD8DD" w14:textId="77777777" w:rsidR="00A172E3" w:rsidRPr="00A172E3" w:rsidRDefault="00A172E3" w:rsidP="00A172E3">
      <w:pPr>
        <w:pStyle w:val="ListParagraph"/>
        <w:numPr>
          <w:ilvl w:val="0"/>
          <w:numId w:val="6"/>
        </w:numPr>
      </w:pPr>
      <w:r>
        <w:rPr>
          <w:b/>
        </w:rPr>
        <w:lastRenderedPageBreak/>
        <w:t>Example 2</w:t>
      </w:r>
    </w:p>
    <w:p w14:paraId="6C858B78" w14:textId="77777777" w:rsidR="00A172E3" w:rsidRDefault="00A172E3" w:rsidP="00A172E3">
      <w:pPr>
        <w:pStyle w:val="ListParagraph"/>
      </w:pPr>
      <w:r>
        <w:t>Ursula Harris, a degree candidate, receives a $2,000 scholarship, with $1,000 specifically designated for tuition and $1,00</w:t>
      </w:r>
      <w:r w:rsidR="002F1222">
        <w:t>0</w:t>
      </w:r>
      <w:r>
        <w:t xml:space="preserve"> specifically designated for living expenses. Her tuition is $1,600. She may exclude $1,000 for </w:t>
      </w:r>
      <w:r w:rsidR="00A20426">
        <w:t>tuition</w:t>
      </w:r>
      <w:r>
        <w:t xml:space="preserve">, but the other $1,000 designated for living expenses is taxable and must be included </w:t>
      </w:r>
      <w:r w:rsidR="00C61E99">
        <w:t>as</w:t>
      </w:r>
      <w:r>
        <w:t xml:space="preserve"> income</w:t>
      </w:r>
    </w:p>
    <w:p w14:paraId="5A447E17" w14:textId="77777777" w:rsidR="00A172E3" w:rsidRDefault="00A172E3" w:rsidP="00A172E3"/>
    <w:p w14:paraId="10A6302B" w14:textId="77777777" w:rsidR="00A172E3" w:rsidRPr="00305522" w:rsidRDefault="00305522" w:rsidP="00A172E3">
      <w:pPr>
        <w:rPr>
          <w:b/>
          <w:sz w:val="28"/>
          <w:szCs w:val="28"/>
        </w:rPr>
      </w:pPr>
      <w:r w:rsidRPr="00305522">
        <w:rPr>
          <w:b/>
          <w:sz w:val="28"/>
          <w:szCs w:val="28"/>
        </w:rPr>
        <w:t>Nonresident Aliens</w:t>
      </w:r>
    </w:p>
    <w:p w14:paraId="5292A61B" w14:textId="77777777" w:rsidR="0066351C" w:rsidRPr="0066351C" w:rsidRDefault="00A172E3" w:rsidP="00305522">
      <w:pPr>
        <w:pStyle w:val="ListParagraph"/>
        <w:numPr>
          <w:ilvl w:val="0"/>
          <w:numId w:val="6"/>
        </w:numPr>
      </w:pPr>
      <w:r>
        <w:t xml:space="preserve">Stipends, tuition waivers, or any other financial aid paid to or on behalf of NONRESIDENT ALIENS which require the recipient to perform services past, present, or future, in exchange for the financial aid are taxable as wages, are reportable to IRS on Forms 941 and W-2, and are subject to the withholding rules discussed under </w:t>
      </w:r>
      <w:r w:rsidRPr="00305522">
        <w:rPr>
          <w:b/>
          <w:color w:val="000000" w:themeColor="text1"/>
        </w:rPr>
        <w:t>“Wages Paid to Aliens”</w:t>
      </w:r>
      <w:r w:rsidRPr="00305522">
        <w:rPr>
          <w:color w:val="000000" w:themeColor="text1"/>
        </w:rPr>
        <w:t>.</w:t>
      </w:r>
    </w:p>
    <w:p w14:paraId="5EFB3465" w14:textId="77777777" w:rsidR="00A172E3" w:rsidRDefault="00A172E3" w:rsidP="00305522">
      <w:pPr>
        <w:pStyle w:val="ListParagraph"/>
        <w:numPr>
          <w:ilvl w:val="0"/>
          <w:numId w:val="6"/>
        </w:numPr>
      </w:pPr>
      <w:r>
        <w:t xml:space="preserve">In general, scholarships, fellowships, and </w:t>
      </w:r>
      <w:proofErr w:type="gramStart"/>
      <w:r>
        <w:t>grants which</w:t>
      </w:r>
      <w:proofErr w:type="gramEnd"/>
      <w:r>
        <w:t xml:space="preserve"> originate from sources outside the United States are not taxable to NONRESIDENT ALIENS who receive such grants; nor are such grants reportable to the Internal Revenue Service. Scholarships and fellowships paid by a U.S. grantor to a NONRESIDENT ALIEN who performs his study, research, or training outside the United States are considered to be foreign-source grants, and are therefore not reportable to the IRS and are not subject to withholding.</w:t>
      </w:r>
    </w:p>
    <w:p w14:paraId="6615F7AE" w14:textId="77777777" w:rsidR="00A172E3" w:rsidRDefault="00A172E3" w:rsidP="00A172E3"/>
    <w:p w14:paraId="73CBCB1D" w14:textId="77777777" w:rsidR="00305522" w:rsidRDefault="00305522" w:rsidP="00A172E3"/>
    <w:p w14:paraId="6C3C0FDE" w14:textId="77777777" w:rsidR="00A172E3" w:rsidRPr="00305522" w:rsidRDefault="00305522" w:rsidP="00305522">
      <w:pPr>
        <w:rPr>
          <w:b/>
          <w:sz w:val="32"/>
          <w:szCs w:val="32"/>
        </w:rPr>
      </w:pPr>
      <w:r>
        <w:rPr>
          <w:b/>
          <w:sz w:val="32"/>
          <w:szCs w:val="32"/>
        </w:rPr>
        <w:t>REFERENCES/RELATED TOPICS</w:t>
      </w:r>
    </w:p>
    <w:p w14:paraId="5739AD0F" w14:textId="77777777" w:rsidR="00A172E3" w:rsidRDefault="00A172E3" w:rsidP="00A172E3">
      <w:pPr>
        <w:ind w:left="360"/>
        <w:rPr>
          <w:u w:val="single"/>
        </w:rPr>
      </w:pPr>
    </w:p>
    <w:p w14:paraId="5AB10A90" w14:textId="77777777" w:rsidR="006967C4" w:rsidRPr="00305522" w:rsidRDefault="006967C4" w:rsidP="00305522">
      <w:pPr>
        <w:rPr>
          <w:b/>
          <w:sz w:val="28"/>
          <w:szCs w:val="28"/>
        </w:rPr>
      </w:pPr>
      <w:bookmarkStart w:id="0" w:name="_GoBack"/>
      <w:r w:rsidRPr="00305522">
        <w:rPr>
          <w:b/>
          <w:sz w:val="28"/>
          <w:szCs w:val="28"/>
        </w:rPr>
        <w:t>Foreign Students and Scholars</w:t>
      </w:r>
    </w:p>
    <w:bookmarkEnd w:id="0"/>
    <w:p w14:paraId="54EF28A7" w14:textId="77777777" w:rsidR="006967C4" w:rsidRPr="00F50B6C" w:rsidRDefault="00305522" w:rsidP="00305522">
      <w:pPr>
        <w:rPr>
          <w:b/>
          <w:color w:val="000000" w:themeColor="text1"/>
        </w:rPr>
      </w:pPr>
      <w:r w:rsidRPr="00F50B6C">
        <w:rPr>
          <w:b/>
          <w:color w:val="000000" w:themeColor="text1"/>
        </w:rPr>
        <w:fldChar w:fldCharType="begin"/>
      </w:r>
      <w:r w:rsidRPr="00F50B6C">
        <w:rPr>
          <w:b/>
          <w:color w:val="000000" w:themeColor="text1"/>
        </w:rPr>
        <w:instrText xml:space="preserve"> HYPERLINK "http:///www.irs.gov/businesses/small/international/article/0,,id=96431,00.html" </w:instrText>
      </w:r>
      <w:r w:rsidRPr="00F50B6C">
        <w:rPr>
          <w:b/>
          <w:color w:val="000000" w:themeColor="text1"/>
        </w:rPr>
        <w:fldChar w:fldCharType="separate"/>
      </w:r>
      <w:r w:rsidR="006967C4" w:rsidRPr="00F50B6C">
        <w:rPr>
          <w:rStyle w:val="Hyperlink"/>
          <w:b/>
          <w:color w:val="000000" w:themeColor="text1"/>
          <w:u w:val="none"/>
        </w:rPr>
        <w:t>www.irs.gov/businesses/small/international/article/0,,id=96431,00.html</w:t>
      </w:r>
      <w:r w:rsidRPr="00F50B6C">
        <w:rPr>
          <w:rStyle w:val="Hyperlink"/>
          <w:b/>
          <w:color w:val="000000" w:themeColor="text1"/>
          <w:u w:val="none"/>
        </w:rPr>
        <w:fldChar w:fldCharType="end"/>
      </w:r>
    </w:p>
    <w:p w14:paraId="75F76F8C" w14:textId="77777777" w:rsidR="006967C4" w:rsidRDefault="006967C4" w:rsidP="006967C4">
      <w:pPr>
        <w:rPr>
          <w:u w:val="single"/>
        </w:rPr>
      </w:pPr>
    </w:p>
    <w:p w14:paraId="307F48BE" w14:textId="77777777" w:rsidR="00F50B6C" w:rsidRDefault="00F50B6C" w:rsidP="006967C4">
      <w:pPr>
        <w:rPr>
          <w:u w:val="single"/>
        </w:rPr>
      </w:pPr>
    </w:p>
    <w:p w14:paraId="1E1676AB" w14:textId="77777777" w:rsidR="006967C4" w:rsidRPr="00F50B6C" w:rsidRDefault="006967C4" w:rsidP="006967C4">
      <w:pPr>
        <w:rPr>
          <w:b/>
          <w:sz w:val="32"/>
          <w:szCs w:val="32"/>
        </w:rPr>
      </w:pPr>
      <w:r w:rsidRPr="00F50B6C">
        <w:rPr>
          <w:b/>
          <w:sz w:val="32"/>
          <w:szCs w:val="32"/>
        </w:rPr>
        <w:t>SUMMARY OF THE RULES</w:t>
      </w:r>
    </w:p>
    <w:p w14:paraId="5ED34933" w14:textId="77777777" w:rsidR="006967C4" w:rsidRDefault="006967C4" w:rsidP="006967C4">
      <w:pPr>
        <w:rPr>
          <w:b/>
          <w:i/>
          <w:u w:val="single"/>
        </w:rPr>
      </w:pPr>
    </w:p>
    <w:p w14:paraId="6AAC0384" w14:textId="77777777" w:rsidR="006967C4" w:rsidRDefault="006967C4" w:rsidP="006967C4">
      <w:pPr>
        <w:pStyle w:val="ListParagraph"/>
        <w:numPr>
          <w:ilvl w:val="0"/>
          <w:numId w:val="7"/>
        </w:numPr>
      </w:pPr>
      <w:r>
        <w:t>You must be a candidate for a degree for your scholarship to be tax free</w:t>
      </w:r>
    </w:p>
    <w:p w14:paraId="640FBE8F" w14:textId="77777777" w:rsidR="006967C4" w:rsidRDefault="006967C4" w:rsidP="006967C4">
      <w:pPr>
        <w:pStyle w:val="ListParagraph"/>
        <w:numPr>
          <w:ilvl w:val="0"/>
          <w:numId w:val="7"/>
        </w:numPr>
      </w:pPr>
      <w:r>
        <w:t>Only amounts for tuition, fees, books supplies, and required equipment are tax free. Amounts for other expenses, such as room, board, and travel, are taxable.</w:t>
      </w:r>
    </w:p>
    <w:p w14:paraId="4B0E6B76" w14:textId="77777777" w:rsidR="006967C4" w:rsidRDefault="006967C4" w:rsidP="006967C4">
      <w:pPr>
        <w:pStyle w:val="ListParagraph"/>
        <w:numPr>
          <w:ilvl w:val="0"/>
          <w:numId w:val="7"/>
        </w:numPr>
      </w:pPr>
      <w:r>
        <w:t>The part of any grant that represents payment for teaching, research or other services is taxable.</w:t>
      </w:r>
    </w:p>
    <w:p w14:paraId="033D5CD8" w14:textId="77777777" w:rsidR="006967C4" w:rsidRDefault="006967C4" w:rsidP="006967C4"/>
    <w:p w14:paraId="641F8F2D" w14:textId="77777777" w:rsidR="006967C4" w:rsidRPr="00F50B6C" w:rsidRDefault="006967C4" w:rsidP="006967C4">
      <w:pPr>
        <w:rPr>
          <w:b/>
          <w:sz w:val="32"/>
          <w:szCs w:val="32"/>
        </w:rPr>
      </w:pPr>
      <w:r w:rsidRPr="00F50B6C">
        <w:rPr>
          <w:b/>
          <w:sz w:val="32"/>
          <w:szCs w:val="32"/>
        </w:rPr>
        <w:t>SUMMARY</w:t>
      </w:r>
    </w:p>
    <w:p w14:paraId="29C4A0D8" w14:textId="77777777" w:rsidR="006967C4" w:rsidRDefault="006967C4" w:rsidP="006967C4">
      <w:pPr>
        <w:rPr>
          <w:b/>
          <w:i/>
          <w:u w:val="single"/>
        </w:rPr>
      </w:pPr>
    </w:p>
    <w:tbl>
      <w:tblPr>
        <w:tblStyle w:val="LightShading-Accent1"/>
        <w:tblW w:w="0" w:type="auto"/>
        <w:tblLook w:val="04A0" w:firstRow="1" w:lastRow="0" w:firstColumn="1" w:lastColumn="0" w:noHBand="0" w:noVBand="1"/>
      </w:tblPr>
      <w:tblGrid>
        <w:gridCol w:w="2952"/>
        <w:gridCol w:w="2952"/>
        <w:gridCol w:w="2952"/>
      </w:tblGrid>
      <w:tr w:rsidR="006967C4" w14:paraId="3BE470A5" w14:textId="77777777" w:rsidTr="00515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75B53BC" w14:textId="77777777" w:rsidR="006967C4" w:rsidRPr="006967C4" w:rsidRDefault="006967C4" w:rsidP="006967C4">
            <w:pPr>
              <w:rPr>
                <w:b w:val="0"/>
              </w:rPr>
            </w:pPr>
            <w:r w:rsidRPr="006967C4">
              <w:rPr>
                <w:b w:val="0"/>
              </w:rPr>
              <w:t>Payment For:</w:t>
            </w:r>
          </w:p>
        </w:tc>
        <w:tc>
          <w:tcPr>
            <w:tcW w:w="2952" w:type="dxa"/>
          </w:tcPr>
          <w:p w14:paraId="05A84844" w14:textId="77777777" w:rsidR="006967C4" w:rsidRPr="00F50B6C" w:rsidRDefault="006967C4" w:rsidP="006967C4">
            <w:pPr>
              <w:cnfStyle w:val="100000000000" w:firstRow="1" w:lastRow="0" w:firstColumn="0" w:lastColumn="0" w:oddVBand="0" w:evenVBand="0" w:oddHBand="0" w:evenHBand="0" w:firstRowFirstColumn="0" w:firstRowLastColumn="0" w:lastRowFirstColumn="0" w:lastRowLastColumn="0"/>
              <w:rPr>
                <w:b w:val="0"/>
              </w:rPr>
            </w:pPr>
            <w:r w:rsidRPr="00F50B6C">
              <w:rPr>
                <w:b w:val="0"/>
              </w:rPr>
              <w:t>Degree Candidate:</w:t>
            </w:r>
          </w:p>
        </w:tc>
        <w:tc>
          <w:tcPr>
            <w:tcW w:w="2952" w:type="dxa"/>
          </w:tcPr>
          <w:p w14:paraId="23E8FAA6" w14:textId="77777777" w:rsidR="006967C4" w:rsidRPr="00F50B6C" w:rsidRDefault="006967C4" w:rsidP="006967C4">
            <w:pPr>
              <w:cnfStyle w:val="100000000000" w:firstRow="1" w:lastRow="0" w:firstColumn="0" w:lastColumn="0" w:oddVBand="0" w:evenVBand="0" w:oddHBand="0" w:evenHBand="0" w:firstRowFirstColumn="0" w:firstRowLastColumn="0" w:lastRowFirstColumn="0" w:lastRowLastColumn="0"/>
              <w:rPr>
                <w:b w:val="0"/>
              </w:rPr>
            </w:pPr>
            <w:r w:rsidRPr="00F50B6C">
              <w:rPr>
                <w:b w:val="0"/>
              </w:rPr>
              <w:t>Non-Degree Candidate</w:t>
            </w:r>
          </w:p>
        </w:tc>
      </w:tr>
      <w:tr w:rsidR="006967C4" w:rsidRPr="006967C4" w14:paraId="08D8DB7D" w14:textId="77777777" w:rsidTr="0051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5C24893" w14:textId="77777777" w:rsidR="006967C4" w:rsidRPr="006967C4" w:rsidRDefault="006967C4" w:rsidP="006967C4">
            <w:r w:rsidRPr="006967C4">
              <w:t>Tuition</w:t>
            </w:r>
          </w:p>
        </w:tc>
        <w:tc>
          <w:tcPr>
            <w:tcW w:w="2952" w:type="dxa"/>
          </w:tcPr>
          <w:p w14:paraId="4967190D" w14:textId="77777777" w:rsidR="006967C4" w:rsidRPr="006967C4" w:rsidRDefault="006967C4" w:rsidP="006967C4">
            <w:pPr>
              <w:cnfStyle w:val="000000100000" w:firstRow="0" w:lastRow="0" w:firstColumn="0" w:lastColumn="0" w:oddVBand="0" w:evenVBand="0" w:oddHBand="1" w:evenHBand="0" w:firstRowFirstColumn="0" w:firstRowLastColumn="0" w:lastRowFirstColumn="0" w:lastRowLastColumn="0"/>
            </w:pPr>
            <w:r w:rsidRPr="006967C4">
              <w:t>Tax Free*</w:t>
            </w:r>
          </w:p>
        </w:tc>
        <w:tc>
          <w:tcPr>
            <w:tcW w:w="2952" w:type="dxa"/>
          </w:tcPr>
          <w:p w14:paraId="1338E5E9" w14:textId="77777777" w:rsidR="006967C4" w:rsidRPr="006967C4" w:rsidRDefault="006967C4" w:rsidP="006967C4">
            <w:pPr>
              <w:cnfStyle w:val="000000100000" w:firstRow="0" w:lastRow="0" w:firstColumn="0" w:lastColumn="0" w:oddVBand="0" w:evenVBand="0" w:oddHBand="1" w:evenHBand="0" w:firstRowFirstColumn="0" w:firstRowLastColumn="0" w:lastRowFirstColumn="0" w:lastRowLastColumn="0"/>
            </w:pPr>
            <w:r w:rsidRPr="006967C4">
              <w:t>Taxable</w:t>
            </w:r>
          </w:p>
        </w:tc>
      </w:tr>
      <w:tr w:rsidR="0051529C" w:rsidRPr="006967C4" w14:paraId="35B5C6E5" w14:textId="77777777" w:rsidTr="0051529C">
        <w:tc>
          <w:tcPr>
            <w:cnfStyle w:val="001000000000" w:firstRow="0" w:lastRow="0" w:firstColumn="1" w:lastColumn="0" w:oddVBand="0" w:evenVBand="0" w:oddHBand="0" w:evenHBand="0" w:firstRowFirstColumn="0" w:firstRowLastColumn="0" w:lastRowFirstColumn="0" w:lastRowLastColumn="0"/>
            <w:tcW w:w="2952" w:type="dxa"/>
          </w:tcPr>
          <w:p w14:paraId="0268F499" w14:textId="77777777" w:rsidR="0051529C" w:rsidRPr="006967C4" w:rsidRDefault="0051529C" w:rsidP="006967C4">
            <w:r w:rsidRPr="006967C4">
              <w:t>Fees</w:t>
            </w:r>
          </w:p>
        </w:tc>
        <w:tc>
          <w:tcPr>
            <w:tcW w:w="2952" w:type="dxa"/>
          </w:tcPr>
          <w:p w14:paraId="0F7C4F2D"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810D3D">
              <w:t>Tax Free*</w:t>
            </w:r>
          </w:p>
        </w:tc>
        <w:tc>
          <w:tcPr>
            <w:tcW w:w="2952" w:type="dxa"/>
          </w:tcPr>
          <w:p w14:paraId="2EF630AA"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4B5BF0">
              <w:t>Taxable</w:t>
            </w:r>
          </w:p>
        </w:tc>
      </w:tr>
      <w:tr w:rsidR="0051529C" w:rsidRPr="006967C4" w14:paraId="56B091D8" w14:textId="77777777" w:rsidTr="0051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99C1091" w14:textId="77777777" w:rsidR="0051529C" w:rsidRPr="006967C4" w:rsidRDefault="0051529C" w:rsidP="006967C4">
            <w:r>
              <w:t>Books</w:t>
            </w:r>
          </w:p>
        </w:tc>
        <w:tc>
          <w:tcPr>
            <w:tcW w:w="2952" w:type="dxa"/>
          </w:tcPr>
          <w:p w14:paraId="13344832"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810D3D">
              <w:t>Tax Free*</w:t>
            </w:r>
          </w:p>
        </w:tc>
        <w:tc>
          <w:tcPr>
            <w:tcW w:w="2952" w:type="dxa"/>
          </w:tcPr>
          <w:p w14:paraId="57C25E82"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4B5BF0">
              <w:t>Taxable</w:t>
            </w:r>
          </w:p>
        </w:tc>
      </w:tr>
      <w:tr w:rsidR="0051529C" w:rsidRPr="006967C4" w14:paraId="498C5EC0" w14:textId="77777777" w:rsidTr="0051529C">
        <w:tc>
          <w:tcPr>
            <w:cnfStyle w:val="001000000000" w:firstRow="0" w:lastRow="0" w:firstColumn="1" w:lastColumn="0" w:oddVBand="0" w:evenVBand="0" w:oddHBand="0" w:evenHBand="0" w:firstRowFirstColumn="0" w:firstRowLastColumn="0" w:lastRowFirstColumn="0" w:lastRowLastColumn="0"/>
            <w:tcW w:w="2952" w:type="dxa"/>
          </w:tcPr>
          <w:p w14:paraId="4ED7E588" w14:textId="77777777" w:rsidR="0051529C" w:rsidRPr="006967C4" w:rsidRDefault="0051529C" w:rsidP="006967C4">
            <w:r>
              <w:t>Supplies</w:t>
            </w:r>
          </w:p>
        </w:tc>
        <w:tc>
          <w:tcPr>
            <w:tcW w:w="2952" w:type="dxa"/>
          </w:tcPr>
          <w:p w14:paraId="4B8D78FC"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810D3D">
              <w:t>Tax Free*</w:t>
            </w:r>
          </w:p>
        </w:tc>
        <w:tc>
          <w:tcPr>
            <w:tcW w:w="2952" w:type="dxa"/>
          </w:tcPr>
          <w:p w14:paraId="0D672894"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4B5BF0">
              <w:t>Taxable</w:t>
            </w:r>
          </w:p>
        </w:tc>
      </w:tr>
      <w:tr w:rsidR="0051529C" w:rsidRPr="006967C4" w14:paraId="211864A8" w14:textId="77777777" w:rsidTr="0051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91BD34D" w14:textId="77777777" w:rsidR="0051529C" w:rsidRPr="006967C4" w:rsidRDefault="0051529C" w:rsidP="006967C4">
            <w:r>
              <w:t>Equipment</w:t>
            </w:r>
          </w:p>
        </w:tc>
        <w:tc>
          <w:tcPr>
            <w:tcW w:w="2952" w:type="dxa"/>
          </w:tcPr>
          <w:p w14:paraId="2B860BDD"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810D3D">
              <w:t>Tax Free*</w:t>
            </w:r>
          </w:p>
        </w:tc>
        <w:tc>
          <w:tcPr>
            <w:tcW w:w="2952" w:type="dxa"/>
          </w:tcPr>
          <w:p w14:paraId="5081DD6C"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4B5BF0">
              <w:t>Taxable</w:t>
            </w:r>
          </w:p>
        </w:tc>
      </w:tr>
      <w:tr w:rsidR="0051529C" w:rsidRPr="006967C4" w14:paraId="6DE598B8" w14:textId="77777777" w:rsidTr="0051529C">
        <w:tc>
          <w:tcPr>
            <w:cnfStyle w:val="001000000000" w:firstRow="0" w:lastRow="0" w:firstColumn="1" w:lastColumn="0" w:oddVBand="0" w:evenVBand="0" w:oddHBand="0" w:evenHBand="0" w:firstRowFirstColumn="0" w:firstRowLastColumn="0" w:lastRowFirstColumn="0" w:lastRowLastColumn="0"/>
            <w:tcW w:w="2952" w:type="dxa"/>
          </w:tcPr>
          <w:p w14:paraId="3FDA5480" w14:textId="77777777" w:rsidR="0051529C" w:rsidRPr="006967C4" w:rsidRDefault="0051529C" w:rsidP="006967C4">
            <w:r>
              <w:t>Room &amp; Board</w:t>
            </w:r>
          </w:p>
        </w:tc>
        <w:tc>
          <w:tcPr>
            <w:tcW w:w="2952" w:type="dxa"/>
          </w:tcPr>
          <w:p w14:paraId="35E899AD" w14:textId="77777777" w:rsidR="0051529C" w:rsidRPr="006967C4" w:rsidRDefault="0051529C" w:rsidP="006967C4">
            <w:pPr>
              <w:cnfStyle w:val="000000000000" w:firstRow="0" w:lastRow="0" w:firstColumn="0" w:lastColumn="0" w:oddVBand="0" w:evenVBand="0" w:oddHBand="0" w:evenHBand="0" w:firstRowFirstColumn="0" w:firstRowLastColumn="0" w:lastRowFirstColumn="0" w:lastRowLastColumn="0"/>
            </w:pPr>
            <w:r>
              <w:t>Taxable</w:t>
            </w:r>
          </w:p>
        </w:tc>
        <w:tc>
          <w:tcPr>
            <w:tcW w:w="2952" w:type="dxa"/>
          </w:tcPr>
          <w:p w14:paraId="375C6042"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4B5BF0">
              <w:t>Taxable</w:t>
            </w:r>
          </w:p>
        </w:tc>
      </w:tr>
      <w:tr w:rsidR="0051529C" w:rsidRPr="006967C4" w14:paraId="0FBCDC05" w14:textId="77777777" w:rsidTr="0051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C20B565" w14:textId="77777777" w:rsidR="0051529C" w:rsidRPr="006967C4" w:rsidRDefault="0051529C" w:rsidP="006967C4">
            <w:r>
              <w:t>Travel</w:t>
            </w:r>
          </w:p>
        </w:tc>
        <w:tc>
          <w:tcPr>
            <w:tcW w:w="2952" w:type="dxa"/>
          </w:tcPr>
          <w:p w14:paraId="2DDBA28F"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CF5054">
              <w:t>Taxable</w:t>
            </w:r>
          </w:p>
        </w:tc>
        <w:tc>
          <w:tcPr>
            <w:tcW w:w="2952" w:type="dxa"/>
          </w:tcPr>
          <w:p w14:paraId="5DF80AA2"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4B5BF0">
              <w:t>Taxable</w:t>
            </w:r>
          </w:p>
        </w:tc>
      </w:tr>
      <w:tr w:rsidR="0051529C" w:rsidRPr="006967C4" w14:paraId="72C0D2EB" w14:textId="77777777" w:rsidTr="0051529C">
        <w:tc>
          <w:tcPr>
            <w:cnfStyle w:val="001000000000" w:firstRow="0" w:lastRow="0" w:firstColumn="1" w:lastColumn="0" w:oddVBand="0" w:evenVBand="0" w:oddHBand="0" w:evenHBand="0" w:firstRowFirstColumn="0" w:firstRowLastColumn="0" w:lastRowFirstColumn="0" w:lastRowLastColumn="0"/>
            <w:tcW w:w="2952" w:type="dxa"/>
          </w:tcPr>
          <w:p w14:paraId="5B516642" w14:textId="77777777" w:rsidR="0051529C" w:rsidRPr="006967C4" w:rsidRDefault="0051529C" w:rsidP="006967C4">
            <w:r>
              <w:t>Teaching</w:t>
            </w:r>
          </w:p>
        </w:tc>
        <w:tc>
          <w:tcPr>
            <w:tcW w:w="2952" w:type="dxa"/>
          </w:tcPr>
          <w:p w14:paraId="5CCCE5E4"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CF5054">
              <w:t>Taxable</w:t>
            </w:r>
          </w:p>
        </w:tc>
        <w:tc>
          <w:tcPr>
            <w:tcW w:w="2952" w:type="dxa"/>
          </w:tcPr>
          <w:p w14:paraId="3B9C3598"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4B5BF0">
              <w:t>Taxable</w:t>
            </w:r>
          </w:p>
        </w:tc>
      </w:tr>
      <w:tr w:rsidR="0051529C" w:rsidRPr="006967C4" w14:paraId="6136F568" w14:textId="77777777" w:rsidTr="0051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A68853E" w14:textId="77777777" w:rsidR="0051529C" w:rsidRPr="006967C4" w:rsidRDefault="0051529C" w:rsidP="006967C4">
            <w:r>
              <w:t>Research</w:t>
            </w:r>
          </w:p>
        </w:tc>
        <w:tc>
          <w:tcPr>
            <w:tcW w:w="2952" w:type="dxa"/>
          </w:tcPr>
          <w:p w14:paraId="46CC8FBD"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CF5054">
              <w:t>Taxable</w:t>
            </w:r>
          </w:p>
        </w:tc>
        <w:tc>
          <w:tcPr>
            <w:tcW w:w="2952" w:type="dxa"/>
          </w:tcPr>
          <w:p w14:paraId="30B314F0" w14:textId="77777777" w:rsidR="0051529C" w:rsidRDefault="0051529C">
            <w:pPr>
              <w:cnfStyle w:val="000000100000" w:firstRow="0" w:lastRow="0" w:firstColumn="0" w:lastColumn="0" w:oddVBand="0" w:evenVBand="0" w:oddHBand="1" w:evenHBand="0" w:firstRowFirstColumn="0" w:firstRowLastColumn="0" w:lastRowFirstColumn="0" w:lastRowLastColumn="0"/>
            </w:pPr>
            <w:r w:rsidRPr="004B5BF0">
              <w:t>Taxable</w:t>
            </w:r>
          </w:p>
        </w:tc>
      </w:tr>
      <w:tr w:rsidR="0051529C" w:rsidRPr="006967C4" w14:paraId="06FF44B3" w14:textId="77777777" w:rsidTr="00F50B6C">
        <w:tc>
          <w:tcPr>
            <w:cnfStyle w:val="001000000000" w:firstRow="0" w:lastRow="0" w:firstColumn="1" w:lastColumn="0" w:oddVBand="0" w:evenVBand="0" w:oddHBand="0" w:evenHBand="0" w:firstRowFirstColumn="0" w:firstRowLastColumn="0" w:lastRowFirstColumn="0" w:lastRowLastColumn="0"/>
            <w:tcW w:w="2952" w:type="dxa"/>
            <w:tcBorders>
              <w:bottom w:val="single" w:sz="8" w:space="0" w:color="4F81BD" w:themeColor="accent1"/>
            </w:tcBorders>
          </w:tcPr>
          <w:p w14:paraId="147175CB" w14:textId="77777777" w:rsidR="0051529C" w:rsidRPr="006967C4" w:rsidRDefault="0051529C" w:rsidP="006967C4">
            <w:r>
              <w:t>Other Services</w:t>
            </w:r>
          </w:p>
        </w:tc>
        <w:tc>
          <w:tcPr>
            <w:tcW w:w="2952" w:type="dxa"/>
            <w:tcBorders>
              <w:bottom w:val="single" w:sz="8" w:space="0" w:color="4F81BD" w:themeColor="accent1"/>
            </w:tcBorders>
          </w:tcPr>
          <w:p w14:paraId="5FC0AC82"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CF5054">
              <w:t>Taxable</w:t>
            </w:r>
          </w:p>
        </w:tc>
        <w:tc>
          <w:tcPr>
            <w:tcW w:w="2952" w:type="dxa"/>
            <w:tcBorders>
              <w:bottom w:val="single" w:sz="8" w:space="0" w:color="4F81BD" w:themeColor="accent1"/>
            </w:tcBorders>
          </w:tcPr>
          <w:p w14:paraId="7DA6E72A" w14:textId="77777777" w:rsidR="0051529C" w:rsidRDefault="0051529C">
            <w:pPr>
              <w:cnfStyle w:val="000000000000" w:firstRow="0" w:lastRow="0" w:firstColumn="0" w:lastColumn="0" w:oddVBand="0" w:evenVBand="0" w:oddHBand="0" w:evenHBand="0" w:firstRowFirstColumn="0" w:firstRowLastColumn="0" w:lastRowFirstColumn="0" w:lastRowLastColumn="0"/>
            </w:pPr>
            <w:r w:rsidRPr="004B5BF0">
              <w:t>Taxable</w:t>
            </w:r>
          </w:p>
        </w:tc>
      </w:tr>
    </w:tbl>
    <w:p w14:paraId="09FB460C" w14:textId="77777777" w:rsidR="006967C4" w:rsidRPr="0051529C" w:rsidRDefault="0051529C" w:rsidP="0051529C">
      <w:pPr>
        <w:rPr>
          <w:b/>
        </w:rPr>
      </w:pPr>
      <w:r>
        <w:rPr>
          <w:b/>
        </w:rPr>
        <w:t xml:space="preserve">* </w:t>
      </w:r>
      <w:r w:rsidRPr="0051529C">
        <w:rPr>
          <w:b/>
        </w:rPr>
        <w:t>If required of all students in the course</w:t>
      </w:r>
    </w:p>
    <w:p w14:paraId="07BAE49F" w14:textId="77777777" w:rsidR="0051529C" w:rsidRDefault="0051529C" w:rsidP="0051529C">
      <w:pPr>
        <w:rPr>
          <w:b/>
        </w:rPr>
      </w:pPr>
    </w:p>
    <w:p w14:paraId="27E16C53" w14:textId="77777777" w:rsidR="00F50B6C" w:rsidRDefault="00F50B6C" w:rsidP="0051529C">
      <w:pPr>
        <w:rPr>
          <w:b/>
        </w:rPr>
      </w:pPr>
    </w:p>
    <w:p w14:paraId="0E056759" w14:textId="77777777" w:rsidR="0051529C" w:rsidRPr="00F50B6C" w:rsidRDefault="0051529C" w:rsidP="0051529C">
      <w:pPr>
        <w:rPr>
          <w:b/>
          <w:sz w:val="32"/>
          <w:szCs w:val="32"/>
        </w:rPr>
      </w:pPr>
      <w:r w:rsidRPr="00F50B6C">
        <w:rPr>
          <w:b/>
          <w:sz w:val="32"/>
          <w:szCs w:val="32"/>
        </w:rPr>
        <w:t>STUDENT RESPONSIBILITY</w:t>
      </w:r>
    </w:p>
    <w:p w14:paraId="005A87D8" w14:textId="77777777" w:rsidR="0051529C" w:rsidRDefault="0051529C" w:rsidP="0051529C">
      <w:pPr>
        <w:rPr>
          <w:b/>
          <w:i/>
          <w:u w:val="single"/>
        </w:rPr>
      </w:pPr>
    </w:p>
    <w:p w14:paraId="2C1A1A06" w14:textId="77777777" w:rsidR="0051529C" w:rsidRDefault="0051529C" w:rsidP="0051529C">
      <w:pPr>
        <w:pStyle w:val="ListParagraph"/>
        <w:numPr>
          <w:ilvl w:val="0"/>
          <w:numId w:val="8"/>
        </w:numPr>
      </w:pPr>
      <w:r>
        <w:t>Students are responsible for completing the correct tax forms and providing them to the Corporation, and notifying the department of changes in their tax status and change of address.</w:t>
      </w:r>
    </w:p>
    <w:p w14:paraId="006526A3" w14:textId="77777777" w:rsidR="0051529C" w:rsidRDefault="0051529C" w:rsidP="0051529C"/>
    <w:p w14:paraId="4387DD88" w14:textId="77777777" w:rsidR="0051529C" w:rsidRDefault="0051529C" w:rsidP="0051529C"/>
    <w:p w14:paraId="4E4A8B97" w14:textId="77777777" w:rsidR="0051529C" w:rsidRPr="00F50B6C" w:rsidRDefault="0051529C" w:rsidP="0051529C">
      <w:pPr>
        <w:rPr>
          <w:b/>
          <w:color w:val="000000" w:themeColor="text1"/>
          <w:sz w:val="32"/>
          <w:szCs w:val="32"/>
        </w:rPr>
      </w:pPr>
      <w:r w:rsidRPr="00F50B6C">
        <w:rPr>
          <w:b/>
          <w:color w:val="000000" w:themeColor="text1"/>
          <w:sz w:val="32"/>
          <w:szCs w:val="32"/>
        </w:rPr>
        <w:t>RESOURCES</w:t>
      </w:r>
    </w:p>
    <w:p w14:paraId="1CD9F846" w14:textId="77777777" w:rsidR="0051529C" w:rsidRPr="0051529C" w:rsidRDefault="0051529C" w:rsidP="0051529C">
      <w:pPr>
        <w:rPr>
          <w:b/>
          <w:color w:val="17278A"/>
        </w:rPr>
      </w:pPr>
    </w:p>
    <w:p w14:paraId="711655CA" w14:textId="77777777" w:rsidR="0051529C" w:rsidRPr="00F50B6C" w:rsidRDefault="0051529C" w:rsidP="0051529C">
      <w:pPr>
        <w:pStyle w:val="ListParagraph"/>
        <w:numPr>
          <w:ilvl w:val="0"/>
          <w:numId w:val="8"/>
        </w:numPr>
        <w:rPr>
          <w:b/>
          <w:color w:val="000000" w:themeColor="text1"/>
        </w:rPr>
      </w:pPr>
      <w:r w:rsidRPr="00F50B6C">
        <w:rPr>
          <w:color w:val="000000" w:themeColor="text1"/>
        </w:rPr>
        <w:t xml:space="preserve">IRS Tax Codes Section 117, </w:t>
      </w:r>
      <w:r w:rsidRPr="00F50B6C">
        <w:rPr>
          <w:b/>
          <w:color w:val="000000" w:themeColor="text1"/>
        </w:rPr>
        <w:t>Withholding Federal Income Tax on Scholarships, Fellowships, and Grants Paid to Aliens</w:t>
      </w:r>
    </w:p>
    <w:p w14:paraId="00E627B7" w14:textId="77777777" w:rsidR="0051529C" w:rsidRPr="00F50B6C" w:rsidRDefault="0051529C" w:rsidP="0051529C">
      <w:pPr>
        <w:pStyle w:val="ListParagraph"/>
        <w:numPr>
          <w:ilvl w:val="0"/>
          <w:numId w:val="8"/>
        </w:numPr>
        <w:rPr>
          <w:b/>
          <w:color w:val="000000" w:themeColor="text1"/>
        </w:rPr>
      </w:pPr>
      <w:r w:rsidRPr="00F50B6C">
        <w:rPr>
          <w:color w:val="000000" w:themeColor="text1"/>
        </w:rPr>
        <w:t xml:space="preserve">IRS Publication 970, </w:t>
      </w:r>
      <w:r w:rsidRPr="00F50B6C">
        <w:rPr>
          <w:b/>
          <w:color w:val="000000" w:themeColor="text1"/>
        </w:rPr>
        <w:t>Tax Benefits for Education</w:t>
      </w:r>
    </w:p>
    <w:p w14:paraId="188E3860" w14:textId="77777777" w:rsidR="0051529C" w:rsidRPr="00F50B6C" w:rsidRDefault="00305522" w:rsidP="0051529C">
      <w:pPr>
        <w:pStyle w:val="ListParagraph"/>
        <w:numPr>
          <w:ilvl w:val="0"/>
          <w:numId w:val="8"/>
        </w:numPr>
        <w:rPr>
          <w:b/>
          <w:color w:val="000000" w:themeColor="text1"/>
        </w:rPr>
      </w:pPr>
      <w:hyperlink r:id="rId8" w:history="1">
        <w:r w:rsidR="0051529C" w:rsidRPr="00F50B6C">
          <w:rPr>
            <w:rStyle w:val="Hyperlink"/>
            <w:b/>
            <w:color w:val="000000" w:themeColor="text1"/>
            <w:u w:val="none"/>
          </w:rPr>
          <w:t>www.irs.gov</w:t>
        </w:r>
      </w:hyperlink>
    </w:p>
    <w:p w14:paraId="23158AC0" w14:textId="77777777" w:rsidR="0051529C" w:rsidRPr="00F50B6C" w:rsidRDefault="00305522" w:rsidP="0051529C">
      <w:pPr>
        <w:pStyle w:val="ListParagraph"/>
        <w:numPr>
          <w:ilvl w:val="0"/>
          <w:numId w:val="8"/>
        </w:numPr>
        <w:rPr>
          <w:b/>
          <w:color w:val="000000" w:themeColor="text1"/>
        </w:rPr>
      </w:pPr>
      <w:hyperlink r:id="rId9" w:history="1">
        <w:r w:rsidR="0051529C" w:rsidRPr="00F50B6C">
          <w:rPr>
            <w:rStyle w:val="Hyperlink"/>
            <w:b/>
            <w:color w:val="000000" w:themeColor="text1"/>
            <w:u w:val="none"/>
          </w:rPr>
          <w:t>www.1040.com</w:t>
        </w:r>
      </w:hyperlink>
    </w:p>
    <w:p w14:paraId="0C78BEDC" w14:textId="77777777" w:rsidR="0051529C" w:rsidRPr="00F50B6C" w:rsidRDefault="0051529C" w:rsidP="0051529C">
      <w:pPr>
        <w:pStyle w:val="ListParagraph"/>
        <w:numPr>
          <w:ilvl w:val="0"/>
          <w:numId w:val="8"/>
        </w:numPr>
        <w:rPr>
          <w:b/>
          <w:color w:val="000000" w:themeColor="text1"/>
        </w:rPr>
      </w:pPr>
      <w:r w:rsidRPr="00F50B6C">
        <w:rPr>
          <w:b/>
          <w:color w:val="000000" w:themeColor="text1"/>
        </w:rPr>
        <w:t>www.investopedia.com</w:t>
      </w:r>
    </w:p>
    <w:sectPr w:rsidR="0051529C" w:rsidRPr="00F50B6C" w:rsidSect="00305522">
      <w:headerReference w:type="default" r:id="rId10"/>
      <w:footerReference w:type="default" r:id="rId11"/>
      <w:pgSz w:w="12240" w:h="15840"/>
      <w:pgMar w:top="1440" w:right="1800" w:bottom="990" w:left="1800" w:header="720" w:footer="1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0F7A6" w14:textId="77777777" w:rsidR="00305522" w:rsidRDefault="00305522" w:rsidP="005A4A35">
      <w:r>
        <w:separator/>
      </w:r>
    </w:p>
  </w:endnote>
  <w:endnote w:type="continuationSeparator" w:id="0">
    <w:p w14:paraId="6BFFA833" w14:textId="77777777" w:rsidR="00305522" w:rsidRDefault="00305522" w:rsidP="005A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5556"/>
      <w:docPartObj>
        <w:docPartGallery w:val="Page Numbers (Bottom of Page)"/>
        <w:docPartUnique/>
      </w:docPartObj>
    </w:sdtPr>
    <w:sdtEndPr>
      <w:rPr>
        <w:noProof/>
      </w:rPr>
    </w:sdtEndPr>
    <w:sdtContent>
      <w:p w14:paraId="46BDF2F7" w14:textId="77777777" w:rsidR="00305522" w:rsidRDefault="00305522">
        <w:pPr>
          <w:pStyle w:val="Footer"/>
          <w:jc w:val="center"/>
        </w:pPr>
        <w:r>
          <w:fldChar w:fldCharType="begin"/>
        </w:r>
        <w:r>
          <w:instrText xml:space="preserve"> PAGE   \* MERGEFORMAT </w:instrText>
        </w:r>
        <w:r>
          <w:fldChar w:fldCharType="separate"/>
        </w:r>
        <w:r w:rsidR="00F50B6C">
          <w:rPr>
            <w:noProof/>
          </w:rPr>
          <w:t>1</w:t>
        </w:r>
        <w:r>
          <w:rPr>
            <w:noProof/>
          </w:rPr>
          <w:fldChar w:fldCharType="end"/>
        </w:r>
      </w:p>
    </w:sdtContent>
  </w:sdt>
  <w:p w14:paraId="001EC447" w14:textId="77777777" w:rsidR="00305522" w:rsidRDefault="003055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EA440" w14:textId="77777777" w:rsidR="00305522" w:rsidRDefault="00305522" w:rsidP="005A4A35">
      <w:r>
        <w:separator/>
      </w:r>
    </w:p>
  </w:footnote>
  <w:footnote w:type="continuationSeparator" w:id="0">
    <w:p w14:paraId="56DA8C26" w14:textId="77777777" w:rsidR="00305522" w:rsidRDefault="00305522" w:rsidP="005A4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FD95" w14:textId="77777777" w:rsidR="00305522" w:rsidRDefault="00305522" w:rsidP="005A4A35">
    <w:pPr>
      <w:pStyle w:val="Header"/>
      <w:jc w:val="right"/>
    </w:pPr>
    <w:r>
      <w:t>07.23.2015</w:t>
    </w:r>
  </w:p>
  <w:p w14:paraId="235015FF" w14:textId="77777777" w:rsidR="00305522" w:rsidRPr="00305522" w:rsidRDefault="00305522" w:rsidP="00305522">
    <w:pPr>
      <w:tabs>
        <w:tab w:val="center" w:pos="5220"/>
      </w:tabs>
      <w:rPr>
        <w:rFonts w:ascii="Arial" w:eastAsia="Calibri" w:hAnsi="Arial" w:cs="Arial"/>
        <w:b/>
        <w:sz w:val="32"/>
        <w:szCs w:val="32"/>
      </w:rPr>
    </w:pPr>
    <w:r>
      <w:rPr>
        <w:rFonts w:ascii="Arial" w:eastAsia="Calibri" w:hAnsi="Arial" w:cs="Arial"/>
        <w:b/>
        <w:noProof/>
        <w:sz w:val="32"/>
        <w:szCs w:val="32"/>
      </w:rPr>
      <w:drawing>
        <wp:inline distT="0" distB="0" distL="0" distR="0" wp14:anchorId="26E976EB" wp14:editId="6583DDD3">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D_vert.pdf"/>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Pr>
        <w:rFonts w:ascii="Arial" w:eastAsia="Calibri" w:hAnsi="Arial" w:cs="Arial"/>
        <w:b/>
        <w:sz w:val="32"/>
        <w:szCs w:val="32"/>
      </w:rPr>
      <w:tab/>
    </w:r>
    <w:r w:rsidRPr="00305522">
      <w:rPr>
        <w:rFonts w:ascii="Arial" w:eastAsia="Calibri" w:hAnsi="Arial" w:cs="Arial"/>
        <w:b/>
        <w:sz w:val="32"/>
        <w:szCs w:val="32"/>
      </w:rPr>
      <w:t xml:space="preserve">West Virginia State University </w:t>
    </w:r>
  </w:p>
  <w:p w14:paraId="52689B72" w14:textId="77777777" w:rsidR="00305522" w:rsidRPr="00305522" w:rsidRDefault="00305522" w:rsidP="00305522">
    <w:pPr>
      <w:tabs>
        <w:tab w:val="center" w:pos="5220"/>
      </w:tabs>
      <w:rPr>
        <w:rFonts w:ascii="Arial" w:eastAsia="Calibri" w:hAnsi="Arial" w:cs="Arial"/>
        <w:b/>
        <w:sz w:val="32"/>
        <w:szCs w:val="32"/>
      </w:rPr>
    </w:pPr>
    <w:r>
      <w:rPr>
        <w:rFonts w:ascii="Arial" w:eastAsia="Calibri" w:hAnsi="Arial" w:cs="Arial"/>
        <w:b/>
        <w:sz w:val="32"/>
        <w:szCs w:val="32"/>
      </w:rPr>
      <w:tab/>
    </w:r>
    <w:r w:rsidRPr="00305522">
      <w:rPr>
        <w:rFonts w:ascii="Arial" w:eastAsia="Calibri" w:hAnsi="Arial" w:cs="Arial"/>
        <w:b/>
        <w:sz w:val="32"/>
        <w:szCs w:val="32"/>
      </w:rPr>
      <w:t>Research &amp; Development Corporation</w:t>
    </w:r>
  </w:p>
  <w:p w14:paraId="12204D04" w14:textId="77777777" w:rsidR="00305522" w:rsidRPr="00305522" w:rsidRDefault="00305522" w:rsidP="00305522">
    <w:pPr>
      <w:tabs>
        <w:tab w:val="center" w:pos="5220"/>
      </w:tabs>
      <w:rPr>
        <w:rFonts w:ascii="Arial" w:eastAsia="Calibri" w:hAnsi="Arial" w:cs="Arial"/>
        <w:b/>
        <w:bCs/>
        <w:sz w:val="32"/>
        <w:szCs w:val="32"/>
      </w:rPr>
    </w:pPr>
    <w:r>
      <w:rPr>
        <w:rFonts w:ascii="Arial" w:eastAsia="Calibri" w:hAnsi="Arial" w:cs="Arial"/>
        <w:b/>
        <w:bCs/>
        <w:sz w:val="32"/>
        <w:szCs w:val="32"/>
      </w:rPr>
      <w:tab/>
    </w:r>
    <w:r w:rsidRPr="00305522">
      <w:rPr>
        <w:rFonts w:ascii="Arial" w:eastAsia="Calibri" w:hAnsi="Arial" w:cs="Arial"/>
        <w:b/>
        <w:bCs/>
        <w:sz w:val="32"/>
        <w:szCs w:val="32"/>
      </w:rPr>
      <w:t>Institute, WV 25112</w:t>
    </w:r>
  </w:p>
  <w:p w14:paraId="7C375BCE" w14:textId="77777777" w:rsidR="00305522" w:rsidRDefault="00305522" w:rsidP="003055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20"/>
    <w:multiLevelType w:val="hybridMultilevel"/>
    <w:tmpl w:val="5CFC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C1FB1"/>
    <w:multiLevelType w:val="hybridMultilevel"/>
    <w:tmpl w:val="051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9369B"/>
    <w:multiLevelType w:val="hybridMultilevel"/>
    <w:tmpl w:val="52C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051B7"/>
    <w:multiLevelType w:val="hybridMultilevel"/>
    <w:tmpl w:val="218C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85FB1"/>
    <w:multiLevelType w:val="hybridMultilevel"/>
    <w:tmpl w:val="04D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F3E3F"/>
    <w:multiLevelType w:val="hybridMultilevel"/>
    <w:tmpl w:val="7F4C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C6E78"/>
    <w:multiLevelType w:val="hybridMultilevel"/>
    <w:tmpl w:val="A402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82D63"/>
    <w:multiLevelType w:val="hybridMultilevel"/>
    <w:tmpl w:val="E93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80"/>
    <w:rsid w:val="001A7C0C"/>
    <w:rsid w:val="002F1222"/>
    <w:rsid w:val="00305522"/>
    <w:rsid w:val="00381566"/>
    <w:rsid w:val="003D22AA"/>
    <w:rsid w:val="0051529C"/>
    <w:rsid w:val="005701A1"/>
    <w:rsid w:val="005A4A35"/>
    <w:rsid w:val="0066351C"/>
    <w:rsid w:val="006967C4"/>
    <w:rsid w:val="009124CE"/>
    <w:rsid w:val="00A172E3"/>
    <w:rsid w:val="00A20426"/>
    <w:rsid w:val="00A84314"/>
    <w:rsid w:val="00B45880"/>
    <w:rsid w:val="00C61E99"/>
    <w:rsid w:val="00CD4557"/>
    <w:rsid w:val="00E86E3A"/>
    <w:rsid w:val="00F5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04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80"/>
    <w:pPr>
      <w:ind w:left="720"/>
      <w:contextualSpacing/>
    </w:pPr>
  </w:style>
  <w:style w:type="character" w:styleId="Hyperlink">
    <w:name w:val="Hyperlink"/>
    <w:basedOn w:val="DefaultParagraphFont"/>
    <w:uiPriority w:val="99"/>
    <w:unhideWhenUsed/>
    <w:rsid w:val="006967C4"/>
    <w:rPr>
      <w:color w:val="0000FF" w:themeColor="hyperlink"/>
      <w:u w:val="single"/>
    </w:rPr>
  </w:style>
  <w:style w:type="table" w:styleId="TableGrid">
    <w:name w:val="Table Grid"/>
    <w:basedOn w:val="TableNormal"/>
    <w:uiPriority w:val="59"/>
    <w:rsid w:val="0069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1529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1529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A4A35"/>
    <w:pPr>
      <w:tabs>
        <w:tab w:val="center" w:pos="4680"/>
        <w:tab w:val="right" w:pos="9360"/>
      </w:tabs>
    </w:pPr>
  </w:style>
  <w:style w:type="character" w:customStyle="1" w:styleId="HeaderChar">
    <w:name w:val="Header Char"/>
    <w:basedOn w:val="DefaultParagraphFont"/>
    <w:link w:val="Header"/>
    <w:uiPriority w:val="99"/>
    <w:rsid w:val="005A4A35"/>
  </w:style>
  <w:style w:type="paragraph" w:styleId="Footer">
    <w:name w:val="footer"/>
    <w:basedOn w:val="Normal"/>
    <w:link w:val="FooterChar"/>
    <w:uiPriority w:val="99"/>
    <w:unhideWhenUsed/>
    <w:rsid w:val="005A4A35"/>
    <w:pPr>
      <w:tabs>
        <w:tab w:val="center" w:pos="4680"/>
        <w:tab w:val="right" w:pos="9360"/>
      </w:tabs>
    </w:pPr>
  </w:style>
  <w:style w:type="character" w:customStyle="1" w:styleId="FooterChar">
    <w:name w:val="Footer Char"/>
    <w:basedOn w:val="DefaultParagraphFont"/>
    <w:link w:val="Footer"/>
    <w:uiPriority w:val="99"/>
    <w:rsid w:val="005A4A35"/>
  </w:style>
  <w:style w:type="paragraph" w:styleId="BalloonText">
    <w:name w:val="Balloon Text"/>
    <w:basedOn w:val="Normal"/>
    <w:link w:val="BalloonTextChar"/>
    <w:uiPriority w:val="99"/>
    <w:semiHidden/>
    <w:unhideWhenUsed/>
    <w:rsid w:val="00C61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9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80"/>
    <w:pPr>
      <w:ind w:left="720"/>
      <w:contextualSpacing/>
    </w:pPr>
  </w:style>
  <w:style w:type="character" w:styleId="Hyperlink">
    <w:name w:val="Hyperlink"/>
    <w:basedOn w:val="DefaultParagraphFont"/>
    <w:uiPriority w:val="99"/>
    <w:unhideWhenUsed/>
    <w:rsid w:val="006967C4"/>
    <w:rPr>
      <w:color w:val="0000FF" w:themeColor="hyperlink"/>
      <w:u w:val="single"/>
    </w:rPr>
  </w:style>
  <w:style w:type="table" w:styleId="TableGrid">
    <w:name w:val="Table Grid"/>
    <w:basedOn w:val="TableNormal"/>
    <w:uiPriority w:val="59"/>
    <w:rsid w:val="0069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1529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1529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A4A35"/>
    <w:pPr>
      <w:tabs>
        <w:tab w:val="center" w:pos="4680"/>
        <w:tab w:val="right" w:pos="9360"/>
      </w:tabs>
    </w:pPr>
  </w:style>
  <w:style w:type="character" w:customStyle="1" w:styleId="HeaderChar">
    <w:name w:val="Header Char"/>
    <w:basedOn w:val="DefaultParagraphFont"/>
    <w:link w:val="Header"/>
    <w:uiPriority w:val="99"/>
    <w:rsid w:val="005A4A35"/>
  </w:style>
  <w:style w:type="paragraph" w:styleId="Footer">
    <w:name w:val="footer"/>
    <w:basedOn w:val="Normal"/>
    <w:link w:val="FooterChar"/>
    <w:uiPriority w:val="99"/>
    <w:unhideWhenUsed/>
    <w:rsid w:val="005A4A35"/>
    <w:pPr>
      <w:tabs>
        <w:tab w:val="center" w:pos="4680"/>
        <w:tab w:val="right" w:pos="9360"/>
      </w:tabs>
    </w:pPr>
  </w:style>
  <w:style w:type="character" w:customStyle="1" w:styleId="FooterChar">
    <w:name w:val="Footer Char"/>
    <w:basedOn w:val="DefaultParagraphFont"/>
    <w:link w:val="Footer"/>
    <w:uiPriority w:val="99"/>
    <w:rsid w:val="005A4A35"/>
  </w:style>
  <w:style w:type="paragraph" w:styleId="BalloonText">
    <w:name w:val="Balloon Text"/>
    <w:basedOn w:val="Normal"/>
    <w:link w:val="BalloonTextChar"/>
    <w:uiPriority w:val="99"/>
    <w:semiHidden/>
    <w:unhideWhenUsed/>
    <w:rsid w:val="00C61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s.gov" TargetMode="External"/><Relationship Id="rId9" Type="http://schemas.openxmlformats.org/officeDocument/2006/relationships/hyperlink" Target="http://www.1040.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1155</Words>
  <Characters>6588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dc:creator>
  <cp:keywords/>
  <dc:description/>
  <cp:lastModifiedBy>Stacy</cp:lastModifiedBy>
  <cp:revision>6</cp:revision>
  <cp:lastPrinted>2015-08-11T17:24:00Z</cp:lastPrinted>
  <dcterms:created xsi:type="dcterms:W3CDTF">2015-07-23T17:47:00Z</dcterms:created>
  <dcterms:modified xsi:type="dcterms:W3CDTF">2016-07-18T13:57:00Z</dcterms:modified>
</cp:coreProperties>
</file>