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41F86" w14:textId="77777777" w:rsidR="001E2B5D" w:rsidRPr="00D54307" w:rsidRDefault="001E2B5D" w:rsidP="002779B9">
      <w:pPr>
        <w:jc w:val="center"/>
        <w:rPr>
          <w:rFonts w:ascii="Times New Roman" w:hAnsi="Times New Roman" w:cs="Times New Roman"/>
          <w:b/>
          <w:bCs/>
          <w:sz w:val="24"/>
          <w:szCs w:val="24"/>
        </w:rPr>
      </w:pPr>
      <w:r w:rsidRPr="00D54307">
        <w:rPr>
          <w:rFonts w:ascii="Times New Roman" w:hAnsi="Times New Roman" w:cs="Times New Roman"/>
          <w:b/>
          <w:bCs/>
          <w:sz w:val="24"/>
          <w:szCs w:val="24"/>
        </w:rPr>
        <w:t>CAEP Annual Report 2022</w:t>
      </w:r>
    </w:p>
    <w:p w14:paraId="70B983AB" w14:textId="51C24A2A" w:rsidR="00AF27EE" w:rsidRPr="00D54307" w:rsidRDefault="00373FAD" w:rsidP="002779B9">
      <w:pPr>
        <w:jc w:val="center"/>
        <w:rPr>
          <w:rFonts w:ascii="Times New Roman" w:hAnsi="Times New Roman" w:cs="Times New Roman"/>
          <w:b/>
          <w:bCs/>
          <w:sz w:val="24"/>
          <w:szCs w:val="24"/>
        </w:rPr>
      </w:pPr>
      <w:r w:rsidRPr="00D54307">
        <w:rPr>
          <w:rFonts w:ascii="Times New Roman" w:hAnsi="Times New Roman" w:cs="Times New Roman"/>
          <w:b/>
          <w:bCs/>
          <w:sz w:val="24"/>
          <w:szCs w:val="24"/>
        </w:rPr>
        <w:t>Measure 1: Impact on P-12 Learning and Development</w:t>
      </w:r>
    </w:p>
    <w:p w14:paraId="4C5B02F0" w14:textId="5D9F9E75" w:rsidR="00373FAD" w:rsidRPr="00D54307" w:rsidRDefault="00373FAD" w:rsidP="002779B9">
      <w:pPr>
        <w:jc w:val="center"/>
        <w:rPr>
          <w:rFonts w:ascii="Times New Roman" w:hAnsi="Times New Roman" w:cs="Times New Roman"/>
          <w:b/>
          <w:bCs/>
          <w:sz w:val="24"/>
          <w:szCs w:val="24"/>
        </w:rPr>
      </w:pPr>
      <w:r w:rsidRPr="00D54307">
        <w:rPr>
          <w:rFonts w:ascii="Times New Roman" w:hAnsi="Times New Roman" w:cs="Times New Roman"/>
          <w:b/>
          <w:bCs/>
          <w:sz w:val="24"/>
          <w:szCs w:val="24"/>
        </w:rPr>
        <w:t>Initial Level</w:t>
      </w:r>
    </w:p>
    <w:p w14:paraId="2F38C606" w14:textId="47414A67" w:rsidR="000C0043" w:rsidRDefault="00995747" w:rsidP="00373FAD">
      <w:pPr>
        <w:rPr>
          <w:rFonts w:ascii="Times New Roman" w:hAnsi="Times New Roman" w:cs="Times New Roman"/>
          <w:sz w:val="24"/>
          <w:szCs w:val="24"/>
        </w:rPr>
      </w:pPr>
      <w:r w:rsidRPr="00D54307">
        <w:rPr>
          <w:rFonts w:ascii="Times New Roman" w:hAnsi="Times New Roman" w:cs="Times New Roman"/>
          <w:sz w:val="24"/>
          <w:szCs w:val="24"/>
        </w:rPr>
        <w:t>F</w:t>
      </w:r>
      <w:r w:rsidR="00373FAD" w:rsidRPr="00D54307">
        <w:rPr>
          <w:rFonts w:ascii="Times New Roman" w:hAnsi="Times New Roman" w:cs="Times New Roman"/>
          <w:sz w:val="24"/>
          <w:szCs w:val="24"/>
        </w:rPr>
        <w:t>or present reporting purposes, we have chosen to use</w:t>
      </w:r>
      <w:r w:rsidR="00DF3DF9" w:rsidRPr="00D54307">
        <w:rPr>
          <w:rFonts w:ascii="Times New Roman" w:hAnsi="Times New Roman" w:cs="Times New Roman"/>
          <w:sz w:val="24"/>
          <w:szCs w:val="24"/>
        </w:rPr>
        <w:t xml:space="preserve"> data from our piloted Alumni Advisory </w:t>
      </w:r>
      <w:r w:rsidR="00567043">
        <w:rPr>
          <w:rFonts w:ascii="Times New Roman" w:hAnsi="Times New Roman" w:cs="Times New Roman"/>
          <w:sz w:val="24"/>
          <w:szCs w:val="24"/>
        </w:rPr>
        <w:t xml:space="preserve">Council survey and AAC Action Research initiative. </w:t>
      </w:r>
    </w:p>
    <w:p w14:paraId="49A44FEE" w14:textId="7DDBF4EB" w:rsidR="00DF3DF9" w:rsidRPr="00D54307" w:rsidRDefault="000C0043" w:rsidP="00373FAD">
      <w:pPr>
        <w:rPr>
          <w:rFonts w:ascii="Times New Roman" w:hAnsi="Times New Roman" w:cs="Times New Roman"/>
          <w:sz w:val="24"/>
          <w:szCs w:val="24"/>
        </w:rPr>
      </w:pPr>
      <w:r>
        <w:rPr>
          <w:rFonts w:ascii="Times New Roman" w:hAnsi="Times New Roman" w:cs="Times New Roman"/>
          <w:sz w:val="24"/>
          <w:szCs w:val="24"/>
        </w:rPr>
        <w:t>No</w:t>
      </w:r>
      <w:r w:rsidR="00995747" w:rsidRPr="00D54307">
        <w:rPr>
          <w:rFonts w:ascii="Times New Roman" w:hAnsi="Times New Roman" w:cs="Times New Roman"/>
          <w:sz w:val="24"/>
          <w:szCs w:val="24"/>
        </w:rPr>
        <w:t xml:space="preserve"> Transition to Teaching Survey </w:t>
      </w:r>
      <w:r w:rsidR="001E2B5D" w:rsidRPr="00D54307">
        <w:rPr>
          <w:rFonts w:ascii="Times New Roman" w:hAnsi="Times New Roman" w:cs="Times New Roman"/>
          <w:sz w:val="24"/>
          <w:szCs w:val="24"/>
        </w:rPr>
        <w:t xml:space="preserve">data </w:t>
      </w:r>
      <w:r>
        <w:rPr>
          <w:rFonts w:ascii="Times New Roman" w:hAnsi="Times New Roman" w:cs="Times New Roman"/>
          <w:sz w:val="24"/>
          <w:szCs w:val="24"/>
        </w:rPr>
        <w:t xml:space="preserve">was </w:t>
      </w:r>
      <w:r w:rsidR="001E2B5D" w:rsidRPr="00D54307">
        <w:rPr>
          <w:rFonts w:ascii="Times New Roman" w:hAnsi="Times New Roman" w:cs="Times New Roman"/>
          <w:sz w:val="24"/>
          <w:szCs w:val="24"/>
        </w:rPr>
        <w:t>provided</w:t>
      </w:r>
      <w:r w:rsidR="00373FAD" w:rsidRPr="00D54307">
        <w:rPr>
          <w:rFonts w:ascii="Times New Roman" w:hAnsi="Times New Roman" w:cs="Times New Roman"/>
          <w:sz w:val="24"/>
          <w:szCs w:val="24"/>
        </w:rPr>
        <w:t xml:space="preserve"> by the WVHEPC</w:t>
      </w:r>
      <w:r>
        <w:rPr>
          <w:rFonts w:ascii="Times New Roman" w:hAnsi="Times New Roman" w:cs="Times New Roman"/>
          <w:sz w:val="24"/>
          <w:szCs w:val="24"/>
        </w:rPr>
        <w:t xml:space="preserve">/WVDE due to poor return rates for the TTS and accompanying employer survey. </w:t>
      </w:r>
      <w:r w:rsidR="00373FAD" w:rsidRPr="00D54307">
        <w:rPr>
          <w:rFonts w:ascii="Times New Roman" w:hAnsi="Times New Roman" w:cs="Times New Roman"/>
          <w:sz w:val="24"/>
          <w:szCs w:val="24"/>
        </w:rPr>
        <w:t xml:space="preserve"> </w:t>
      </w:r>
      <w:r w:rsidR="001E2B5D" w:rsidRPr="00D54307">
        <w:rPr>
          <w:rFonts w:ascii="Times New Roman" w:hAnsi="Times New Roman" w:cs="Times New Roman"/>
          <w:sz w:val="24"/>
          <w:szCs w:val="24"/>
        </w:rPr>
        <w:t xml:space="preserve">(It should be noted that Fall 2021 will </w:t>
      </w:r>
      <w:r>
        <w:rPr>
          <w:rFonts w:ascii="Times New Roman" w:hAnsi="Times New Roman" w:cs="Times New Roman"/>
          <w:sz w:val="24"/>
          <w:szCs w:val="24"/>
        </w:rPr>
        <w:t xml:space="preserve">be the last </w:t>
      </w:r>
      <w:r w:rsidR="00567043">
        <w:rPr>
          <w:rFonts w:ascii="Times New Roman" w:hAnsi="Times New Roman" w:cs="Times New Roman"/>
          <w:sz w:val="24"/>
          <w:szCs w:val="24"/>
        </w:rPr>
        <w:t xml:space="preserve">any statewide collection of </w:t>
      </w:r>
      <w:r>
        <w:rPr>
          <w:rFonts w:ascii="Times New Roman" w:hAnsi="Times New Roman" w:cs="Times New Roman"/>
          <w:sz w:val="24"/>
          <w:szCs w:val="24"/>
        </w:rPr>
        <w:t xml:space="preserve">data </w:t>
      </w:r>
      <w:r w:rsidR="00567043">
        <w:rPr>
          <w:rFonts w:ascii="Times New Roman" w:hAnsi="Times New Roman" w:cs="Times New Roman"/>
          <w:sz w:val="24"/>
          <w:szCs w:val="24"/>
        </w:rPr>
        <w:t>with the NeXT Survey of Fall 2021 being the final statewide collection attempt). A</w:t>
      </w:r>
      <w:r>
        <w:rPr>
          <w:rFonts w:ascii="Times New Roman" w:hAnsi="Times New Roman" w:cs="Times New Roman"/>
          <w:sz w:val="24"/>
          <w:szCs w:val="24"/>
        </w:rPr>
        <w:t>s a result</w:t>
      </w:r>
      <w:r w:rsidR="00567043">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2779B9">
        <w:rPr>
          <w:rFonts w:ascii="Times New Roman" w:hAnsi="Times New Roman" w:cs="Times New Roman"/>
          <w:sz w:val="24"/>
          <w:szCs w:val="24"/>
        </w:rPr>
        <w:t xml:space="preserve">EPP </w:t>
      </w:r>
      <w:r w:rsidR="002779B9" w:rsidRPr="00D54307">
        <w:rPr>
          <w:rFonts w:ascii="Times New Roman" w:hAnsi="Times New Roman" w:cs="Times New Roman"/>
          <w:sz w:val="24"/>
          <w:szCs w:val="24"/>
        </w:rPr>
        <w:t>opted</w:t>
      </w:r>
      <w:r>
        <w:rPr>
          <w:rFonts w:ascii="Times New Roman" w:hAnsi="Times New Roman" w:cs="Times New Roman"/>
          <w:sz w:val="24"/>
          <w:szCs w:val="24"/>
        </w:rPr>
        <w:t xml:space="preserve"> </w:t>
      </w:r>
      <w:r w:rsidR="001E2B5D" w:rsidRPr="00D54307">
        <w:rPr>
          <w:rFonts w:ascii="Times New Roman" w:hAnsi="Times New Roman" w:cs="Times New Roman"/>
          <w:sz w:val="24"/>
          <w:szCs w:val="24"/>
        </w:rPr>
        <w:t xml:space="preserve">to </w:t>
      </w:r>
      <w:r>
        <w:rPr>
          <w:rFonts w:ascii="Times New Roman" w:hAnsi="Times New Roman" w:cs="Times New Roman"/>
          <w:sz w:val="24"/>
          <w:szCs w:val="24"/>
        </w:rPr>
        <w:t xml:space="preserve">collect </w:t>
      </w:r>
      <w:r w:rsidR="001E2B5D" w:rsidRPr="00D54307">
        <w:rPr>
          <w:rFonts w:ascii="Times New Roman" w:hAnsi="Times New Roman" w:cs="Times New Roman"/>
          <w:sz w:val="24"/>
          <w:szCs w:val="24"/>
        </w:rPr>
        <w:t xml:space="preserve">completer/employer data using the </w:t>
      </w:r>
      <w:proofErr w:type="spellStart"/>
      <w:r w:rsidR="001E2B5D" w:rsidRPr="00D54307">
        <w:rPr>
          <w:rFonts w:ascii="Times New Roman" w:hAnsi="Times New Roman" w:cs="Times New Roman"/>
          <w:sz w:val="24"/>
          <w:szCs w:val="24"/>
        </w:rPr>
        <w:t>Skyfactor</w:t>
      </w:r>
      <w:proofErr w:type="spellEnd"/>
      <w:r w:rsidR="001E2B5D" w:rsidRPr="00D54307">
        <w:rPr>
          <w:rFonts w:ascii="Times New Roman" w:hAnsi="Times New Roman" w:cs="Times New Roman"/>
          <w:sz w:val="24"/>
          <w:szCs w:val="24"/>
        </w:rPr>
        <w:t xml:space="preserve"> platform. This shift in platforms was made in hopes of attaining higher response rates from the target populations.</w:t>
      </w:r>
    </w:p>
    <w:p w14:paraId="3D6B5F97" w14:textId="5B3F0051" w:rsidR="00D54307" w:rsidRDefault="00D54307" w:rsidP="00373FAD">
      <w:pPr>
        <w:rPr>
          <w:rFonts w:ascii="Times New Roman" w:hAnsi="Times New Roman" w:cs="Times New Roman"/>
          <w:sz w:val="24"/>
          <w:szCs w:val="24"/>
        </w:rPr>
      </w:pPr>
    </w:p>
    <w:p w14:paraId="1AFC02D0" w14:textId="6883A69A" w:rsidR="00D54307" w:rsidRPr="00D54307" w:rsidRDefault="00D54307" w:rsidP="00373FAD">
      <w:pPr>
        <w:rPr>
          <w:rFonts w:ascii="Times New Roman" w:hAnsi="Times New Roman" w:cs="Times New Roman"/>
          <w:b/>
          <w:bCs/>
          <w:sz w:val="24"/>
          <w:szCs w:val="24"/>
        </w:rPr>
      </w:pPr>
      <w:r w:rsidRPr="00D54307">
        <w:rPr>
          <w:rFonts w:ascii="Times New Roman" w:hAnsi="Times New Roman" w:cs="Times New Roman"/>
          <w:b/>
          <w:bCs/>
          <w:sz w:val="24"/>
          <w:szCs w:val="24"/>
        </w:rPr>
        <w:t>Contributions to P-12 Student Learning Growth</w:t>
      </w:r>
      <w:r>
        <w:rPr>
          <w:rFonts w:ascii="Times New Roman" w:hAnsi="Times New Roman" w:cs="Times New Roman"/>
          <w:b/>
          <w:bCs/>
          <w:sz w:val="24"/>
          <w:szCs w:val="24"/>
        </w:rPr>
        <w:t xml:space="preserve"> </w:t>
      </w:r>
    </w:p>
    <w:p w14:paraId="5FA64138" w14:textId="768BF7CA" w:rsidR="0084471C" w:rsidRPr="0084471C" w:rsidRDefault="00D54307" w:rsidP="00373FAD">
      <w:pPr>
        <w:rPr>
          <w:rFonts w:ascii="Times New Roman" w:hAnsi="Times New Roman" w:cs="Times New Roman"/>
          <w:sz w:val="24"/>
          <w:szCs w:val="24"/>
        </w:rPr>
      </w:pPr>
      <w:r w:rsidRPr="00785FDB">
        <w:rPr>
          <w:rFonts w:ascii="Times New Roman" w:hAnsi="Times New Roman" w:cs="Times New Roman"/>
          <w:sz w:val="24"/>
          <w:szCs w:val="24"/>
        </w:rPr>
        <w:t xml:space="preserve">At present, the state of WV does not provide such </w:t>
      </w:r>
      <w:r>
        <w:rPr>
          <w:rFonts w:ascii="Times New Roman" w:hAnsi="Times New Roman" w:cs="Times New Roman"/>
          <w:sz w:val="24"/>
          <w:szCs w:val="24"/>
        </w:rPr>
        <w:t xml:space="preserve">disaggregated P-12 student </w:t>
      </w:r>
      <w:r w:rsidRPr="00785FDB">
        <w:rPr>
          <w:rFonts w:ascii="Times New Roman" w:hAnsi="Times New Roman" w:cs="Times New Roman"/>
          <w:sz w:val="24"/>
          <w:szCs w:val="24"/>
        </w:rPr>
        <w:t>data to higher education entities</w:t>
      </w:r>
      <w:r>
        <w:rPr>
          <w:rFonts w:ascii="Times New Roman" w:hAnsi="Times New Roman" w:cs="Times New Roman"/>
          <w:sz w:val="24"/>
          <w:szCs w:val="24"/>
        </w:rPr>
        <w:t xml:space="preserve"> which would aid in measuring our completer impact upon student learning</w:t>
      </w:r>
      <w:r w:rsidRPr="00785FDB">
        <w:rPr>
          <w:rFonts w:ascii="Times New Roman" w:hAnsi="Times New Roman" w:cs="Times New Roman"/>
          <w:sz w:val="24"/>
          <w:szCs w:val="24"/>
        </w:rPr>
        <w:t>.</w:t>
      </w:r>
      <w:r>
        <w:rPr>
          <w:rFonts w:ascii="Times New Roman" w:hAnsi="Times New Roman" w:cs="Times New Roman"/>
          <w:sz w:val="24"/>
          <w:szCs w:val="24"/>
        </w:rPr>
        <w:t xml:space="preserve"> Therefore, we are solely reliant upon the participation of completers for such data.</w:t>
      </w:r>
      <w:r w:rsidR="00661E65">
        <w:rPr>
          <w:rFonts w:ascii="Times New Roman" w:hAnsi="Times New Roman" w:cs="Times New Roman"/>
          <w:sz w:val="24"/>
          <w:szCs w:val="24"/>
        </w:rPr>
        <w:t xml:space="preserve"> </w:t>
      </w:r>
      <w:r w:rsidR="003D345B">
        <w:rPr>
          <w:rFonts w:ascii="Times New Roman" w:hAnsi="Times New Roman" w:cs="Times New Roman"/>
          <w:sz w:val="24"/>
          <w:szCs w:val="24"/>
        </w:rPr>
        <w:t>To</w:t>
      </w:r>
      <w:r w:rsidR="0084471C">
        <w:rPr>
          <w:rFonts w:ascii="Times New Roman" w:hAnsi="Times New Roman" w:cs="Times New Roman"/>
          <w:sz w:val="24"/>
          <w:szCs w:val="24"/>
        </w:rPr>
        <w:t xml:space="preserve"> further support data collection efforts with our completers, WVSU has attempted to collect data by way of an Alumni Advisory Council (ACC). However, participation has been very limited.</w:t>
      </w:r>
    </w:p>
    <w:p w14:paraId="588CD0D9" w14:textId="2426B03B" w:rsidR="00124C5E" w:rsidRDefault="00DF3DF9" w:rsidP="00373FAD">
      <w:pPr>
        <w:rPr>
          <w:rFonts w:ascii="Times New Roman" w:hAnsi="Times New Roman" w:cs="Times New Roman"/>
          <w:sz w:val="24"/>
          <w:szCs w:val="24"/>
        </w:rPr>
      </w:pPr>
      <w:r w:rsidRPr="00D74353">
        <w:rPr>
          <w:rFonts w:ascii="Times New Roman" w:hAnsi="Times New Roman" w:cs="Times New Roman"/>
          <w:sz w:val="24"/>
          <w:szCs w:val="24"/>
        </w:rPr>
        <w:t xml:space="preserve">Responses from the </w:t>
      </w:r>
      <w:r w:rsidR="00D74353" w:rsidRPr="00D74353">
        <w:rPr>
          <w:rFonts w:ascii="Times New Roman" w:hAnsi="Times New Roman" w:cs="Times New Roman"/>
          <w:sz w:val="24"/>
          <w:szCs w:val="24"/>
        </w:rPr>
        <w:t xml:space="preserve">EPP created </w:t>
      </w:r>
      <w:r w:rsidRPr="00D74353">
        <w:rPr>
          <w:rFonts w:ascii="Times New Roman" w:hAnsi="Times New Roman" w:cs="Times New Roman"/>
          <w:sz w:val="24"/>
          <w:szCs w:val="24"/>
        </w:rPr>
        <w:t xml:space="preserve">Alumni </w:t>
      </w:r>
      <w:r w:rsidR="00FA5A9B" w:rsidRPr="00D74353">
        <w:rPr>
          <w:rFonts w:ascii="Times New Roman" w:hAnsi="Times New Roman" w:cs="Times New Roman"/>
          <w:sz w:val="24"/>
          <w:szCs w:val="24"/>
        </w:rPr>
        <w:t xml:space="preserve">Survey </w:t>
      </w:r>
      <w:r w:rsidRPr="00D74353">
        <w:rPr>
          <w:rFonts w:ascii="Times New Roman" w:hAnsi="Times New Roman" w:cs="Times New Roman"/>
          <w:sz w:val="24"/>
          <w:szCs w:val="24"/>
        </w:rPr>
        <w:t>will be featured first</w:t>
      </w:r>
      <w:r w:rsidR="00FA5A9B" w:rsidRPr="00D74353">
        <w:rPr>
          <w:rFonts w:ascii="Times New Roman" w:hAnsi="Times New Roman" w:cs="Times New Roman"/>
          <w:sz w:val="24"/>
          <w:szCs w:val="24"/>
        </w:rPr>
        <w:t xml:space="preserve">, followed by </w:t>
      </w:r>
      <w:r w:rsidR="00D74353" w:rsidRPr="00D74353">
        <w:rPr>
          <w:rFonts w:ascii="Times New Roman" w:hAnsi="Times New Roman" w:cs="Times New Roman"/>
          <w:sz w:val="24"/>
          <w:szCs w:val="24"/>
        </w:rPr>
        <w:t xml:space="preserve">P12 student </w:t>
      </w:r>
      <w:r w:rsidR="00FA5A9B" w:rsidRPr="00D74353">
        <w:rPr>
          <w:rFonts w:ascii="Times New Roman" w:hAnsi="Times New Roman" w:cs="Times New Roman"/>
          <w:sz w:val="24"/>
          <w:szCs w:val="24"/>
        </w:rPr>
        <w:t xml:space="preserve">data provided by </w:t>
      </w:r>
      <w:r w:rsidR="00D74353" w:rsidRPr="00D74353">
        <w:rPr>
          <w:rFonts w:ascii="Times New Roman" w:hAnsi="Times New Roman" w:cs="Times New Roman"/>
          <w:sz w:val="24"/>
          <w:szCs w:val="24"/>
        </w:rPr>
        <w:t xml:space="preserve">the </w:t>
      </w:r>
      <w:r w:rsidR="00FA5A9B" w:rsidRPr="00D74353">
        <w:rPr>
          <w:rFonts w:ascii="Times New Roman" w:hAnsi="Times New Roman" w:cs="Times New Roman"/>
          <w:sz w:val="24"/>
          <w:szCs w:val="24"/>
        </w:rPr>
        <w:t>one AAC action research participant</w:t>
      </w:r>
      <w:r w:rsidR="00124C5E" w:rsidRPr="00D74353">
        <w:rPr>
          <w:rFonts w:ascii="Times New Roman" w:hAnsi="Times New Roman" w:cs="Times New Roman"/>
          <w:sz w:val="24"/>
          <w:szCs w:val="24"/>
        </w:rPr>
        <w:t>.</w:t>
      </w:r>
      <w:r w:rsidR="009C5BEE" w:rsidRPr="00D74353">
        <w:rPr>
          <w:rFonts w:ascii="Times New Roman" w:hAnsi="Times New Roman" w:cs="Times New Roman"/>
          <w:sz w:val="24"/>
          <w:szCs w:val="24"/>
        </w:rPr>
        <w:t xml:space="preserve"> </w:t>
      </w:r>
      <w:r w:rsidR="00FA5A9B" w:rsidRPr="00D74353">
        <w:rPr>
          <w:rFonts w:ascii="Times New Roman" w:hAnsi="Times New Roman" w:cs="Times New Roman"/>
          <w:sz w:val="24"/>
          <w:szCs w:val="24"/>
        </w:rPr>
        <w:t xml:space="preserve">It should be noted that the </w:t>
      </w:r>
      <w:r w:rsidR="009C5BEE" w:rsidRPr="00D74353">
        <w:rPr>
          <w:rFonts w:ascii="Times New Roman" w:hAnsi="Times New Roman" w:cs="Times New Roman"/>
          <w:sz w:val="24"/>
          <w:szCs w:val="24"/>
        </w:rPr>
        <w:t>Fall 2021 Alumni Advisory responses</w:t>
      </w:r>
      <w:r w:rsidR="00CE0CCB" w:rsidRPr="00D74353">
        <w:rPr>
          <w:rFonts w:ascii="Times New Roman" w:hAnsi="Times New Roman" w:cs="Times New Roman"/>
          <w:sz w:val="24"/>
          <w:szCs w:val="24"/>
        </w:rPr>
        <w:t xml:space="preserve"> to survey</w:t>
      </w:r>
      <w:r w:rsidR="009C5BEE" w:rsidRPr="00D74353">
        <w:rPr>
          <w:rFonts w:ascii="Times New Roman" w:hAnsi="Times New Roman" w:cs="Times New Roman"/>
          <w:sz w:val="24"/>
          <w:szCs w:val="24"/>
        </w:rPr>
        <w:t xml:space="preserve"> </w:t>
      </w:r>
      <w:r w:rsidR="00FA5A9B" w:rsidRPr="00D74353">
        <w:rPr>
          <w:rFonts w:ascii="Times New Roman" w:hAnsi="Times New Roman" w:cs="Times New Roman"/>
          <w:sz w:val="24"/>
          <w:szCs w:val="24"/>
        </w:rPr>
        <w:t xml:space="preserve">consisted of an </w:t>
      </w:r>
      <w:r w:rsidR="009C5BEE" w:rsidRPr="00D74353">
        <w:rPr>
          <w:rFonts w:ascii="Times New Roman" w:hAnsi="Times New Roman" w:cs="Times New Roman"/>
          <w:sz w:val="24"/>
          <w:szCs w:val="24"/>
        </w:rPr>
        <w:t>n=2</w:t>
      </w:r>
      <w:r w:rsidR="00CE0CCB" w:rsidRPr="00D74353">
        <w:rPr>
          <w:rFonts w:ascii="Times New Roman" w:hAnsi="Times New Roman" w:cs="Times New Roman"/>
          <w:sz w:val="24"/>
          <w:szCs w:val="24"/>
        </w:rPr>
        <w:t xml:space="preserve"> with a single completer working with the EPP as a part of the </w:t>
      </w:r>
      <w:r w:rsidR="00FA5A9B" w:rsidRPr="00D74353">
        <w:rPr>
          <w:rFonts w:ascii="Times New Roman" w:hAnsi="Times New Roman" w:cs="Times New Roman"/>
          <w:sz w:val="24"/>
          <w:szCs w:val="24"/>
        </w:rPr>
        <w:t xml:space="preserve">AAC </w:t>
      </w:r>
      <w:r w:rsidR="00CE0CCB" w:rsidRPr="00D74353">
        <w:rPr>
          <w:rFonts w:ascii="Times New Roman" w:hAnsi="Times New Roman" w:cs="Times New Roman"/>
          <w:sz w:val="24"/>
          <w:szCs w:val="24"/>
        </w:rPr>
        <w:t xml:space="preserve">action research project to obtain completer data in Spring 2021-Fall 2021. Unfortunately, the EPP was unable to obtain any alumni participation in the AAC work for Spring 2022. </w:t>
      </w:r>
    </w:p>
    <w:p w14:paraId="57F833EB" w14:textId="77777777" w:rsidR="00661E65" w:rsidRDefault="00661E65" w:rsidP="00661E65">
      <w:pPr>
        <w:rPr>
          <w:rFonts w:ascii="Times New Roman" w:hAnsi="Times New Roman" w:cs="Times New Roman"/>
          <w:sz w:val="24"/>
          <w:szCs w:val="24"/>
        </w:rPr>
      </w:pPr>
      <w:r>
        <w:rPr>
          <w:rFonts w:ascii="Times New Roman" w:hAnsi="Times New Roman" w:cs="Times New Roman"/>
          <w:sz w:val="24"/>
          <w:szCs w:val="24"/>
        </w:rPr>
        <w:t>As previously stated, the AAC action research project consisted of a single completer who participated in the project during Spring 2021-Fall 2021. The individual graduated WVSU during Fall 2020 and was subsequently employed within their field of study as a secondary English Language Arts teacher. Their participation in the research consisted of many activities but for the focus of this reporting, we will use data related to the completers ability to impact student learning (as reported by pre/post data as well as student reported on the Panorama Survey).</w:t>
      </w:r>
    </w:p>
    <w:p w14:paraId="67ECB415" w14:textId="77777777" w:rsidR="00661E65" w:rsidRDefault="00661E65" w:rsidP="00661E65">
      <w:pPr>
        <w:rPr>
          <w:rFonts w:ascii="Times New Roman" w:hAnsi="Times New Roman" w:cs="Times New Roman"/>
          <w:i/>
          <w:iCs/>
          <w:sz w:val="24"/>
          <w:szCs w:val="24"/>
        </w:rPr>
      </w:pPr>
      <w:r w:rsidRPr="00BD4BFB">
        <w:rPr>
          <w:rFonts w:ascii="Times New Roman" w:hAnsi="Times New Roman" w:cs="Times New Roman"/>
          <w:i/>
          <w:iCs/>
          <w:sz w:val="24"/>
          <w:szCs w:val="24"/>
        </w:rPr>
        <w:t>Action Research Pre/Post Data</w:t>
      </w:r>
    </w:p>
    <w:p w14:paraId="7EC5712D" w14:textId="77777777" w:rsidR="00661E65" w:rsidRDefault="00661E65" w:rsidP="00661E65">
      <w:pPr>
        <w:rPr>
          <w:rFonts w:ascii="Times New Roman" w:hAnsi="Times New Roman" w:cs="Times New Roman"/>
          <w:sz w:val="24"/>
          <w:szCs w:val="24"/>
        </w:rPr>
      </w:pPr>
      <w:r>
        <w:rPr>
          <w:rFonts w:ascii="Times New Roman" w:hAnsi="Times New Roman" w:cs="Times New Roman"/>
          <w:sz w:val="24"/>
          <w:szCs w:val="24"/>
        </w:rPr>
        <w:t xml:space="preserve">The completer selected a unit of study tied to improving student writing. He collected pre/post data associated with student knowledge of the writing process. After the collection of pre-instruction data, the completer worked closely with one of the EPP’s AAC faculty supervisors to discuss instructional strategies, planning and other elements of the instructional process to aimed </w:t>
      </w:r>
      <w:r>
        <w:rPr>
          <w:rFonts w:ascii="Times New Roman" w:hAnsi="Times New Roman" w:cs="Times New Roman"/>
          <w:sz w:val="24"/>
          <w:szCs w:val="24"/>
        </w:rPr>
        <w:lastRenderedPageBreak/>
        <w:t>at improving student writing skills. The chart below denotes the pre/post data sample for students in one of the completer’s classes:</w:t>
      </w:r>
    </w:p>
    <w:p w14:paraId="7793CC99" w14:textId="77777777" w:rsidR="00661E65" w:rsidRPr="002779B9" w:rsidRDefault="00661E65" w:rsidP="002779B9">
      <w:pPr>
        <w:spacing w:after="332"/>
        <w:rPr>
          <w:rFonts w:ascii="Times New Roman" w:eastAsia="Calibri" w:hAnsi="Times New Roman" w:cs="Times New Roman"/>
          <w:i/>
          <w:iCs/>
          <w:color w:val="000000"/>
          <w:sz w:val="24"/>
          <w:szCs w:val="24"/>
        </w:rPr>
      </w:pPr>
      <w:r w:rsidRPr="002779B9">
        <w:rPr>
          <w:rFonts w:ascii="Times New Roman" w:eastAsia="Times New Roman" w:hAnsi="Times New Roman" w:cs="Times New Roman"/>
          <w:i/>
          <w:iCs/>
          <w:color w:val="000000"/>
          <w:sz w:val="24"/>
          <w:szCs w:val="24"/>
        </w:rPr>
        <w:t>Student Pre-Test and Post-Test Data on The Writing Process</w:t>
      </w:r>
    </w:p>
    <w:p w14:paraId="7C1CF028" w14:textId="77777777" w:rsidR="00661E65" w:rsidRPr="009E1830" w:rsidRDefault="00661E65" w:rsidP="00661E65">
      <w:pPr>
        <w:spacing w:after="54"/>
        <w:ind w:left="1319"/>
        <w:jc w:val="center"/>
        <w:rPr>
          <w:rFonts w:ascii="Calibri" w:eastAsia="Calibri" w:hAnsi="Calibri" w:cs="Calibri"/>
          <w:color w:val="000000"/>
        </w:rPr>
      </w:pPr>
      <w:r w:rsidRPr="009E1830">
        <w:rPr>
          <w:rFonts w:ascii="Times New Roman" w:eastAsia="Times New Roman" w:hAnsi="Times New Roman" w:cs="Times New Roman"/>
          <w:b/>
          <w:color w:val="000000"/>
          <w:sz w:val="24"/>
          <w:u w:val="single" w:color="000000"/>
        </w:rPr>
        <w:t>Maximum Score: 10/10</w:t>
      </w:r>
    </w:p>
    <w:tbl>
      <w:tblPr>
        <w:tblStyle w:val="TableGrid"/>
        <w:tblW w:w="9300" w:type="dxa"/>
        <w:tblInd w:w="10" w:type="dxa"/>
        <w:tblCellMar>
          <w:top w:w="168" w:type="dxa"/>
          <w:left w:w="115" w:type="dxa"/>
          <w:right w:w="115" w:type="dxa"/>
        </w:tblCellMar>
        <w:tblLook w:val="04A0" w:firstRow="1" w:lastRow="0" w:firstColumn="1" w:lastColumn="0" w:noHBand="0" w:noVBand="1"/>
      </w:tblPr>
      <w:tblGrid>
        <w:gridCol w:w="2060"/>
        <w:gridCol w:w="3480"/>
        <w:gridCol w:w="3760"/>
      </w:tblGrid>
      <w:tr w:rsidR="00661E65" w:rsidRPr="009E1830" w14:paraId="2F4F0C90" w14:textId="77777777" w:rsidTr="00352F57">
        <w:trPr>
          <w:trHeight w:val="520"/>
        </w:trPr>
        <w:tc>
          <w:tcPr>
            <w:tcW w:w="2060" w:type="dxa"/>
            <w:tcBorders>
              <w:top w:val="single" w:sz="8" w:space="0" w:color="000000"/>
              <w:left w:val="single" w:sz="8" w:space="0" w:color="000000"/>
              <w:bottom w:val="single" w:sz="8" w:space="0" w:color="000000"/>
              <w:right w:val="single" w:sz="8" w:space="0" w:color="000000"/>
            </w:tcBorders>
            <w:vAlign w:val="center"/>
          </w:tcPr>
          <w:p w14:paraId="7D3621FE" w14:textId="77777777" w:rsidR="00661E65" w:rsidRPr="009E1830" w:rsidRDefault="00661E65" w:rsidP="00352F57">
            <w:pPr>
              <w:ind w:right="10"/>
              <w:jc w:val="center"/>
              <w:rPr>
                <w:rFonts w:ascii="Calibri" w:eastAsia="Calibri" w:hAnsi="Calibri" w:cs="Calibri"/>
                <w:color w:val="000000"/>
              </w:rPr>
            </w:pPr>
            <w:r w:rsidRPr="009E1830">
              <w:rPr>
                <w:rFonts w:ascii="Times New Roman" w:eastAsia="Times New Roman" w:hAnsi="Times New Roman" w:cs="Times New Roman"/>
                <w:b/>
                <w:color w:val="000000"/>
                <w:sz w:val="24"/>
              </w:rPr>
              <w:t>Student Initials</w:t>
            </w:r>
          </w:p>
        </w:tc>
        <w:tc>
          <w:tcPr>
            <w:tcW w:w="3480" w:type="dxa"/>
            <w:tcBorders>
              <w:top w:val="single" w:sz="8" w:space="0" w:color="000000"/>
              <w:left w:val="single" w:sz="8" w:space="0" w:color="000000"/>
              <w:bottom w:val="single" w:sz="8" w:space="0" w:color="000000"/>
              <w:right w:val="single" w:sz="8" w:space="0" w:color="000000"/>
            </w:tcBorders>
            <w:vAlign w:val="center"/>
          </w:tcPr>
          <w:p w14:paraId="20C30A08" w14:textId="77777777" w:rsidR="00661E65" w:rsidRPr="009E1830" w:rsidRDefault="00661E65" w:rsidP="00352F57">
            <w:pPr>
              <w:jc w:val="center"/>
              <w:rPr>
                <w:rFonts w:ascii="Calibri" w:eastAsia="Calibri" w:hAnsi="Calibri" w:cs="Calibri"/>
                <w:color w:val="000000"/>
              </w:rPr>
            </w:pPr>
            <w:r w:rsidRPr="009E1830">
              <w:rPr>
                <w:rFonts w:ascii="Times New Roman" w:eastAsia="Times New Roman" w:hAnsi="Times New Roman" w:cs="Times New Roman"/>
                <w:b/>
                <w:color w:val="000000"/>
                <w:sz w:val="24"/>
              </w:rPr>
              <w:t>Pre-Test Score</w:t>
            </w:r>
          </w:p>
        </w:tc>
        <w:tc>
          <w:tcPr>
            <w:tcW w:w="3760" w:type="dxa"/>
            <w:tcBorders>
              <w:top w:val="single" w:sz="8" w:space="0" w:color="000000"/>
              <w:left w:val="single" w:sz="8" w:space="0" w:color="000000"/>
              <w:bottom w:val="single" w:sz="8" w:space="0" w:color="000000"/>
              <w:right w:val="single" w:sz="8" w:space="0" w:color="000000"/>
            </w:tcBorders>
            <w:vAlign w:val="center"/>
          </w:tcPr>
          <w:p w14:paraId="75649903" w14:textId="77777777" w:rsidR="00661E65" w:rsidRPr="009E1830" w:rsidRDefault="00661E65" w:rsidP="00352F57">
            <w:pPr>
              <w:ind w:right="10"/>
              <w:jc w:val="center"/>
              <w:rPr>
                <w:rFonts w:ascii="Calibri" w:eastAsia="Calibri" w:hAnsi="Calibri" w:cs="Calibri"/>
                <w:color w:val="000000"/>
              </w:rPr>
            </w:pPr>
            <w:r w:rsidRPr="009E1830">
              <w:rPr>
                <w:rFonts w:ascii="Times New Roman" w:eastAsia="Times New Roman" w:hAnsi="Times New Roman" w:cs="Times New Roman"/>
                <w:b/>
                <w:color w:val="000000"/>
                <w:sz w:val="24"/>
              </w:rPr>
              <w:t>Post-Test Score</w:t>
            </w:r>
          </w:p>
        </w:tc>
      </w:tr>
      <w:tr w:rsidR="00661E65" w:rsidRPr="009E1830" w14:paraId="3CE034F6" w14:textId="77777777" w:rsidTr="00352F57">
        <w:trPr>
          <w:trHeight w:val="500"/>
        </w:trPr>
        <w:tc>
          <w:tcPr>
            <w:tcW w:w="2060" w:type="dxa"/>
            <w:tcBorders>
              <w:top w:val="single" w:sz="8" w:space="0" w:color="000000"/>
              <w:left w:val="single" w:sz="8" w:space="0" w:color="000000"/>
              <w:bottom w:val="single" w:sz="8" w:space="0" w:color="000000"/>
              <w:right w:val="single" w:sz="8" w:space="0" w:color="000000"/>
            </w:tcBorders>
            <w:vAlign w:val="center"/>
          </w:tcPr>
          <w:p w14:paraId="06A1CF8D" w14:textId="77777777" w:rsidR="00661E65" w:rsidRPr="009E1830" w:rsidRDefault="00661E65" w:rsidP="00352F57">
            <w:pPr>
              <w:ind w:right="10"/>
              <w:jc w:val="center"/>
              <w:rPr>
                <w:rFonts w:ascii="Calibri" w:eastAsia="Calibri" w:hAnsi="Calibri" w:cs="Calibri"/>
                <w:color w:val="000000"/>
              </w:rPr>
            </w:pPr>
            <w:r w:rsidRPr="009E1830">
              <w:rPr>
                <w:rFonts w:ascii="Times New Roman" w:eastAsia="Times New Roman" w:hAnsi="Times New Roman" w:cs="Times New Roman"/>
                <w:color w:val="000000"/>
                <w:sz w:val="24"/>
              </w:rPr>
              <w:t>KB</w:t>
            </w:r>
          </w:p>
        </w:tc>
        <w:tc>
          <w:tcPr>
            <w:tcW w:w="3480" w:type="dxa"/>
            <w:tcBorders>
              <w:top w:val="single" w:sz="8" w:space="0" w:color="000000"/>
              <w:left w:val="single" w:sz="8" w:space="0" w:color="000000"/>
              <w:bottom w:val="single" w:sz="8" w:space="0" w:color="000000"/>
              <w:right w:val="single" w:sz="8" w:space="0" w:color="000000"/>
            </w:tcBorders>
            <w:vAlign w:val="center"/>
          </w:tcPr>
          <w:p w14:paraId="08A40288" w14:textId="77777777" w:rsidR="00661E65" w:rsidRPr="009E1830" w:rsidRDefault="00661E65" w:rsidP="00352F57">
            <w:pPr>
              <w:jc w:val="center"/>
              <w:rPr>
                <w:rFonts w:ascii="Calibri" w:eastAsia="Calibri" w:hAnsi="Calibri" w:cs="Calibri"/>
                <w:color w:val="000000"/>
              </w:rPr>
            </w:pPr>
            <w:r w:rsidRPr="009E1830">
              <w:rPr>
                <w:rFonts w:ascii="Times New Roman" w:eastAsia="Times New Roman" w:hAnsi="Times New Roman" w:cs="Times New Roman"/>
                <w:color w:val="F1C232"/>
                <w:sz w:val="24"/>
              </w:rPr>
              <w:t>6</w:t>
            </w:r>
          </w:p>
        </w:tc>
        <w:tc>
          <w:tcPr>
            <w:tcW w:w="3760" w:type="dxa"/>
            <w:tcBorders>
              <w:top w:val="single" w:sz="8" w:space="0" w:color="000000"/>
              <w:left w:val="single" w:sz="8" w:space="0" w:color="000000"/>
              <w:bottom w:val="single" w:sz="8" w:space="0" w:color="000000"/>
              <w:right w:val="single" w:sz="8" w:space="0" w:color="000000"/>
            </w:tcBorders>
            <w:vAlign w:val="center"/>
          </w:tcPr>
          <w:p w14:paraId="1701D8A0" w14:textId="77777777" w:rsidR="00661E65" w:rsidRPr="009E1830" w:rsidRDefault="00661E65" w:rsidP="00352F57">
            <w:pPr>
              <w:ind w:right="10"/>
              <w:jc w:val="center"/>
              <w:rPr>
                <w:rFonts w:ascii="Calibri" w:eastAsia="Calibri" w:hAnsi="Calibri" w:cs="Calibri"/>
                <w:color w:val="000000"/>
              </w:rPr>
            </w:pPr>
            <w:r w:rsidRPr="009E1830">
              <w:rPr>
                <w:rFonts w:ascii="Times New Roman" w:eastAsia="Times New Roman" w:hAnsi="Times New Roman" w:cs="Times New Roman"/>
                <w:color w:val="6AA84F"/>
                <w:sz w:val="24"/>
              </w:rPr>
              <w:t>10</w:t>
            </w:r>
          </w:p>
        </w:tc>
      </w:tr>
      <w:tr w:rsidR="00661E65" w:rsidRPr="009E1830" w14:paraId="41807C88" w14:textId="77777777" w:rsidTr="00352F57">
        <w:trPr>
          <w:trHeight w:val="500"/>
        </w:trPr>
        <w:tc>
          <w:tcPr>
            <w:tcW w:w="2060" w:type="dxa"/>
            <w:tcBorders>
              <w:top w:val="single" w:sz="8" w:space="0" w:color="000000"/>
              <w:left w:val="single" w:sz="8" w:space="0" w:color="000000"/>
              <w:bottom w:val="single" w:sz="8" w:space="0" w:color="000000"/>
              <w:right w:val="single" w:sz="8" w:space="0" w:color="000000"/>
            </w:tcBorders>
            <w:vAlign w:val="center"/>
          </w:tcPr>
          <w:p w14:paraId="005C9C1C" w14:textId="77777777" w:rsidR="00661E65" w:rsidRPr="009E1830" w:rsidRDefault="00661E65" w:rsidP="00352F57">
            <w:pPr>
              <w:ind w:right="10"/>
              <w:jc w:val="center"/>
              <w:rPr>
                <w:rFonts w:ascii="Calibri" w:eastAsia="Calibri" w:hAnsi="Calibri" w:cs="Calibri"/>
                <w:color w:val="000000"/>
              </w:rPr>
            </w:pPr>
            <w:r w:rsidRPr="009E1830">
              <w:rPr>
                <w:rFonts w:ascii="Times New Roman" w:eastAsia="Times New Roman" w:hAnsi="Times New Roman" w:cs="Times New Roman"/>
                <w:color w:val="000000"/>
                <w:sz w:val="24"/>
              </w:rPr>
              <w:t>JB</w:t>
            </w:r>
          </w:p>
        </w:tc>
        <w:tc>
          <w:tcPr>
            <w:tcW w:w="3480" w:type="dxa"/>
            <w:tcBorders>
              <w:top w:val="single" w:sz="8" w:space="0" w:color="000000"/>
              <w:left w:val="single" w:sz="8" w:space="0" w:color="000000"/>
              <w:bottom w:val="single" w:sz="8" w:space="0" w:color="000000"/>
              <w:right w:val="single" w:sz="8" w:space="0" w:color="000000"/>
            </w:tcBorders>
            <w:vAlign w:val="center"/>
          </w:tcPr>
          <w:p w14:paraId="7BDD905F" w14:textId="77777777" w:rsidR="00661E65" w:rsidRPr="009E1830" w:rsidRDefault="00661E65" w:rsidP="00352F57">
            <w:pPr>
              <w:jc w:val="center"/>
              <w:rPr>
                <w:rFonts w:ascii="Calibri" w:eastAsia="Calibri" w:hAnsi="Calibri" w:cs="Calibri"/>
                <w:color w:val="000000"/>
              </w:rPr>
            </w:pPr>
            <w:r w:rsidRPr="009E1830">
              <w:rPr>
                <w:rFonts w:ascii="Times New Roman" w:eastAsia="Times New Roman" w:hAnsi="Times New Roman" w:cs="Times New Roman"/>
                <w:color w:val="F1C232"/>
                <w:sz w:val="24"/>
              </w:rPr>
              <w:t>6</w:t>
            </w:r>
          </w:p>
        </w:tc>
        <w:tc>
          <w:tcPr>
            <w:tcW w:w="3760" w:type="dxa"/>
            <w:tcBorders>
              <w:top w:val="single" w:sz="8" w:space="0" w:color="000000"/>
              <w:left w:val="single" w:sz="8" w:space="0" w:color="000000"/>
              <w:bottom w:val="single" w:sz="8" w:space="0" w:color="000000"/>
              <w:right w:val="single" w:sz="8" w:space="0" w:color="000000"/>
            </w:tcBorders>
            <w:vAlign w:val="center"/>
          </w:tcPr>
          <w:p w14:paraId="7DF8812C" w14:textId="77777777" w:rsidR="00661E65" w:rsidRPr="009E1830" w:rsidRDefault="00661E65" w:rsidP="00352F57">
            <w:pPr>
              <w:ind w:right="10"/>
              <w:jc w:val="center"/>
              <w:rPr>
                <w:rFonts w:ascii="Calibri" w:eastAsia="Calibri" w:hAnsi="Calibri" w:cs="Calibri"/>
                <w:color w:val="000000"/>
              </w:rPr>
            </w:pPr>
            <w:r w:rsidRPr="009E1830">
              <w:rPr>
                <w:rFonts w:ascii="Times New Roman" w:eastAsia="Times New Roman" w:hAnsi="Times New Roman" w:cs="Times New Roman"/>
                <w:color w:val="6AA84F"/>
                <w:sz w:val="24"/>
              </w:rPr>
              <w:t>7</w:t>
            </w:r>
          </w:p>
        </w:tc>
      </w:tr>
      <w:tr w:rsidR="00661E65" w:rsidRPr="009E1830" w14:paraId="14390D41" w14:textId="77777777" w:rsidTr="00352F57">
        <w:trPr>
          <w:trHeight w:val="500"/>
        </w:trPr>
        <w:tc>
          <w:tcPr>
            <w:tcW w:w="2060" w:type="dxa"/>
            <w:tcBorders>
              <w:top w:val="single" w:sz="8" w:space="0" w:color="000000"/>
              <w:left w:val="single" w:sz="8" w:space="0" w:color="000000"/>
              <w:bottom w:val="single" w:sz="8" w:space="0" w:color="000000"/>
              <w:right w:val="single" w:sz="8" w:space="0" w:color="000000"/>
            </w:tcBorders>
            <w:vAlign w:val="center"/>
          </w:tcPr>
          <w:p w14:paraId="79363782" w14:textId="77777777" w:rsidR="00661E65" w:rsidRPr="009E1830" w:rsidRDefault="00661E65" w:rsidP="00352F57">
            <w:pPr>
              <w:ind w:right="10"/>
              <w:jc w:val="center"/>
              <w:rPr>
                <w:rFonts w:ascii="Calibri" w:eastAsia="Calibri" w:hAnsi="Calibri" w:cs="Calibri"/>
                <w:color w:val="000000"/>
              </w:rPr>
            </w:pPr>
            <w:r w:rsidRPr="009E1830">
              <w:rPr>
                <w:rFonts w:ascii="Times New Roman" w:eastAsia="Times New Roman" w:hAnsi="Times New Roman" w:cs="Times New Roman"/>
                <w:color w:val="000000"/>
                <w:sz w:val="24"/>
              </w:rPr>
              <w:t>EB</w:t>
            </w:r>
          </w:p>
        </w:tc>
        <w:tc>
          <w:tcPr>
            <w:tcW w:w="3480" w:type="dxa"/>
            <w:tcBorders>
              <w:top w:val="single" w:sz="8" w:space="0" w:color="000000"/>
              <w:left w:val="single" w:sz="8" w:space="0" w:color="000000"/>
              <w:bottom w:val="single" w:sz="8" w:space="0" w:color="000000"/>
              <w:right w:val="single" w:sz="8" w:space="0" w:color="000000"/>
            </w:tcBorders>
            <w:vAlign w:val="center"/>
          </w:tcPr>
          <w:p w14:paraId="2FFC68B8" w14:textId="77777777" w:rsidR="00661E65" w:rsidRPr="009E1830" w:rsidRDefault="00661E65" w:rsidP="00352F57">
            <w:pPr>
              <w:jc w:val="center"/>
              <w:rPr>
                <w:rFonts w:ascii="Calibri" w:eastAsia="Calibri" w:hAnsi="Calibri" w:cs="Calibri"/>
                <w:color w:val="000000"/>
              </w:rPr>
            </w:pPr>
            <w:r w:rsidRPr="009E1830">
              <w:rPr>
                <w:rFonts w:ascii="Times New Roman" w:eastAsia="Times New Roman" w:hAnsi="Times New Roman" w:cs="Times New Roman"/>
                <w:color w:val="F1C232"/>
                <w:sz w:val="24"/>
              </w:rPr>
              <w:t>7</w:t>
            </w:r>
          </w:p>
        </w:tc>
        <w:tc>
          <w:tcPr>
            <w:tcW w:w="3760" w:type="dxa"/>
            <w:tcBorders>
              <w:top w:val="single" w:sz="8" w:space="0" w:color="000000"/>
              <w:left w:val="single" w:sz="8" w:space="0" w:color="000000"/>
              <w:bottom w:val="single" w:sz="8" w:space="0" w:color="000000"/>
              <w:right w:val="single" w:sz="8" w:space="0" w:color="000000"/>
            </w:tcBorders>
            <w:vAlign w:val="center"/>
          </w:tcPr>
          <w:p w14:paraId="014A234E" w14:textId="77777777" w:rsidR="00661E65" w:rsidRPr="009E1830" w:rsidRDefault="00661E65" w:rsidP="00352F57">
            <w:pPr>
              <w:ind w:right="10"/>
              <w:jc w:val="center"/>
              <w:rPr>
                <w:rFonts w:ascii="Calibri" w:eastAsia="Calibri" w:hAnsi="Calibri" w:cs="Calibri"/>
                <w:color w:val="000000"/>
              </w:rPr>
            </w:pPr>
            <w:r w:rsidRPr="009E1830">
              <w:rPr>
                <w:rFonts w:ascii="Times New Roman" w:eastAsia="Times New Roman" w:hAnsi="Times New Roman" w:cs="Times New Roman"/>
                <w:color w:val="6AA84F"/>
                <w:sz w:val="24"/>
              </w:rPr>
              <w:t>10</w:t>
            </w:r>
          </w:p>
        </w:tc>
      </w:tr>
      <w:tr w:rsidR="00661E65" w:rsidRPr="009E1830" w14:paraId="4E3E8AF3" w14:textId="77777777" w:rsidTr="00352F57">
        <w:trPr>
          <w:trHeight w:val="500"/>
        </w:trPr>
        <w:tc>
          <w:tcPr>
            <w:tcW w:w="2060" w:type="dxa"/>
            <w:tcBorders>
              <w:top w:val="single" w:sz="8" w:space="0" w:color="000000"/>
              <w:left w:val="single" w:sz="8" w:space="0" w:color="000000"/>
              <w:bottom w:val="single" w:sz="8" w:space="0" w:color="000000"/>
              <w:right w:val="single" w:sz="8" w:space="0" w:color="000000"/>
            </w:tcBorders>
            <w:vAlign w:val="center"/>
          </w:tcPr>
          <w:p w14:paraId="6BBE26A4" w14:textId="77777777" w:rsidR="00661E65" w:rsidRPr="009E1830" w:rsidRDefault="00661E65" w:rsidP="00352F57">
            <w:pPr>
              <w:ind w:right="10"/>
              <w:jc w:val="center"/>
              <w:rPr>
                <w:rFonts w:ascii="Calibri" w:eastAsia="Calibri" w:hAnsi="Calibri" w:cs="Calibri"/>
                <w:color w:val="000000"/>
              </w:rPr>
            </w:pPr>
            <w:r w:rsidRPr="009E1830">
              <w:rPr>
                <w:rFonts w:ascii="Times New Roman" w:eastAsia="Times New Roman" w:hAnsi="Times New Roman" w:cs="Times New Roman"/>
                <w:color w:val="000000"/>
                <w:sz w:val="24"/>
              </w:rPr>
              <w:t>HB</w:t>
            </w:r>
          </w:p>
        </w:tc>
        <w:tc>
          <w:tcPr>
            <w:tcW w:w="3480" w:type="dxa"/>
            <w:tcBorders>
              <w:top w:val="single" w:sz="8" w:space="0" w:color="000000"/>
              <w:left w:val="single" w:sz="8" w:space="0" w:color="000000"/>
              <w:bottom w:val="single" w:sz="8" w:space="0" w:color="000000"/>
              <w:right w:val="single" w:sz="8" w:space="0" w:color="000000"/>
            </w:tcBorders>
            <w:vAlign w:val="center"/>
          </w:tcPr>
          <w:p w14:paraId="78DD577A" w14:textId="77777777" w:rsidR="00661E65" w:rsidRPr="009E1830" w:rsidRDefault="00661E65" w:rsidP="00352F57">
            <w:pPr>
              <w:jc w:val="center"/>
              <w:rPr>
                <w:rFonts w:ascii="Calibri" w:eastAsia="Calibri" w:hAnsi="Calibri" w:cs="Calibri"/>
                <w:color w:val="000000"/>
              </w:rPr>
            </w:pPr>
            <w:r w:rsidRPr="009E1830">
              <w:rPr>
                <w:rFonts w:ascii="Times New Roman" w:eastAsia="Times New Roman" w:hAnsi="Times New Roman" w:cs="Times New Roman"/>
                <w:color w:val="F1C232"/>
                <w:sz w:val="24"/>
              </w:rPr>
              <w:t>6</w:t>
            </w:r>
          </w:p>
        </w:tc>
        <w:tc>
          <w:tcPr>
            <w:tcW w:w="3760" w:type="dxa"/>
            <w:tcBorders>
              <w:top w:val="single" w:sz="8" w:space="0" w:color="000000"/>
              <w:left w:val="single" w:sz="8" w:space="0" w:color="000000"/>
              <w:bottom w:val="single" w:sz="8" w:space="0" w:color="000000"/>
              <w:right w:val="single" w:sz="8" w:space="0" w:color="000000"/>
            </w:tcBorders>
            <w:vAlign w:val="center"/>
          </w:tcPr>
          <w:p w14:paraId="5E71C925" w14:textId="77777777" w:rsidR="00661E65" w:rsidRPr="009E1830" w:rsidRDefault="00661E65" w:rsidP="00352F57">
            <w:pPr>
              <w:ind w:right="10"/>
              <w:jc w:val="center"/>
              <w:rPr>
                <w:rFonts w:ascii="Calibri" w:eastAsia="Calibri" w:hAnsi="Calibri" w:cs="Calibri"/>
                <w:color w:val="000000"/>
              </w:rPr>
            </w:pPr>
            <w:r w:rsidRPr="009E1830">
              <w:rPr>
                <w:rFonts w:ascii="Times New Roman" w:eastAsia="Times New Roman" w:hAnsi="Times New Roman" w:cs="Times New Roman"/>
                <w:color w:val="6AA84F"/>
                <w:sz w:val="24"/>
              </w:rPr>
              <w:t>9</w:t>
            </w:r>
          </w:p>
        </w:tc>
      </w:tr>
      <w:tr w:rsidR="00661E65" w:rsidRPr="009E1830" w14:paraId="14FAD85D" w14:textId="77777777" w:rsidTr="00352F57">
        <w:trPr>
          <w:trHeight w:val="500"/>
        </w:trPr>
        <w:tc>
          <w:tcPr>
            <w:tcW w:w="2060" w:type="dxa"/>
            <w:tcBorders>
              <w:top w:val="single" w:sz="8" w:space="0" w:color="000000"/>
              <w:left w:val="single" w:sz="8" w:space="0" w:color="000000"/>
              <w:bottom w:val="single" w:sz="8" w:space="0" w:color="000000"/>
              <w:right w:val="single" w:sz="8" w:space="0" w:color="000000"/>
            </w:tcBorders>
            <w:vAlign w:val="center"/>
          </w:tcPr>
          <w:p w14:paraId="50656571" w14:textId="77777777" w:rsidR="00661E65" w:rsidRPr="009E1830" w:rsidRDefault="00661E65" w:rsidP="00352F57">
            <w:pPr>
              <w:ind w:right="10"/>
              <w:jc w:val="center"/>
              <w:rPr>
                <w:rFonts w:ascii="Calibri" w:eastAsia="Calibri" w:hAnsi="Calibri" w:cs="Calibri"/>
                <w:color w:val="000000"/>
              </w:rPr>
            </w:pPr>
            <w:r w:rsidRPr="009E1830">
              <w:rPr>
                <w:rFonts w:ascii="Times New Roman" w:eastAsia="Times New Roman" w:hAnsi="Times New Roman" w:cs="Times New Roman"/>
                <w:color w:val="000000"/>
                <w:sz w:val="24"/>
              </w:rPr>
              <w:t>CC</w:t>
            </w:r>
          </w:p>
        </w:tc>
        <w:tc>
          <w:tcPr>
            <w:tcW w:w="3480" w:type="dxa"/>
            <w:tcBorders>
              <w:top w:val="single" w:sz="8" w:space="0" w:color="000000"/>
              <w:left w:val="single" w:sz="8" w:space="0" w:color="000000"/>
              <w:bottom w:val="single" w:sz="8" w:space="0" w:color="000000"/>
              <w:right w:val="single" w:sz="8" w:space="0" w:color="000000"/>
            </w:tcBorders>
            <w:vAlign w:val="center"/>
          </w:tcPr>
          <w:p w14:paraId="5CF17FBC" w14:textId="77777777" w:rsidR="00661E65" w:rsidRPr="009E1830" w:rsidRDefault="00661E65" w:rsidP="00352F57">
            <w:pPr>
              <w:jc w:val="center"/>
              <w:rPr>
                <w:rFonts w:ascii="Calibri" w:eastAsia="Calibri" w:hAnsi="Calibri" w:cs="Calibri"/>
                <w:color w:val="000000"/>
              </w:rPr>
            </w:pPr>
            <w:r w:rsidRPr="009E1830">
              <w:rPr>
                <w:rFonts w:ascii="Times New Roman" w:eastAsia="Times New Roman" w:hAnsi="Times New Roman" w:cs="Times New Roman"/>
                <w:color w:val="F1C232"/>
                <w:sz w:val="24"/>
              </w:rPr>
              <w:t>6</w:t>
            </w:r>
          </w:p>
        </w:tc>
        <w:tc>
          <w:tcPr>
            <w:tcW w:w="3760" w:type="dxa"/>
            <w:tcBorders>
              <w:top w:val="single" w:sz="8" w:space="0" w:color="000000"/>
              <w:left w:val="single" w:sz="8" w:space="0" w:color="000000"/>
              <w:bottom w:val="single" w:sz="8" w:space="0" w:color="000000"/>
              <w:right w:val="single" w:sz="8" w:space="0" w:color="000000"/>
            </w:tcBorders>
            <w:vAlign w:val="center"/>
          </w:tcPr>
          <w:p w14:paraId="37BE276A" w14:textId="77777777" w:rsidR="00661E65" w:rsidRPr="009E1830" w:rsidRDefault="00661E65" w:rsidP="00352F57">
            <w:pPr>
              <w:ind w:right="10"/>
              <w:jc w:val="center"/>
              <w:rPr>
                <w:rFonts w:ascii="Calibri" w:eastAsia="Calibri" w:hAnsi="Calibri" w:cs="Calibri"/>
                <w:color w:val="000000"/>
              </w:rPr>
            </w:pPr>
            <w:r w:rsidRPr="009E1830">
              <w:rPr>
                <w:rFonts w:ascii="Times New Roman" w:eastAsia="Times New Roman" w:hAnsi="Times New Roman" w:cs="Times New Roman"/>
                <w:color w:val="6AA84F"/>
                <w:sz w:val="24"/>
              </w:rPr>
              <w:t>10</w:t>
            </w:r>
          </w:p>
        </w:tc>
      </w:tr>
      <w:tr w:rsidR="00661E65" w:rsidRPr="009E1830" w14:paraId="763A9B6D" w14:textId="77777777" w:rsidTr="00352F57">
        <w:trPr>
          <w:trHeight w:val="500"/>
        </w:trPr>
        <w:tc>
          <w:tcPr>
            <w:tcW w:w="2060" w:type="dxa"/>
            <w:tcBorders>
              <w:top w:val="single" w:sz="8" w:space="0" w:color="000000"/>
              <w:left w:val="single" w:sz="8" w:space="0" w:color="000000"/>
              <w:bottom w:val="single" w:sz="8" w:space="0" w:color="000000"/>
              <w:right w:val="single" w:sz="8" w:space="0" w:color="000000"/>
            </w:tcBorders>
            <w:vAlign w:val="center"/>
          </w:tcPr>
          <w:p w14:paraId="764B2CDE" w14:textId="77777777" w:rsidR="00661E65" w:rsidRPr="009E1830" w:rsidRDefault="00661E65" w:rsidP="00352F57">
            <w:pPr>
              <w:ind w:right="10"/>
              <w:jc w:val="center"/>
              <w:rPr>
                <w:rFonts w:ascii="Calibri" w:eastAsia="Calibri" w:hAnsi="Calibri" w:cs="Calibri"/>
                <w:color w:val="000000"/>
              </w:rPr>
            </w:pPr>
            <w:r w:rsidRPr="009E1830">
              <w:rPr>
                <w:rFonts w:ascii="Times New Roman" w:eastAsia="Times New Roman" w:hAnsi="Times New Roman" w:cs="Times New Roman"/>
                <w:color w:val="000000"/>
                <w:sz w:val="24"/>
              </w:rPr>
              <w:t>RC</w:t>
            </w:r>
          </w:p>
        </w:tc>
        <w:tc>
          <w:tcPr>
            <w:tcW w:w="3480" w:type="dxa"/>
            <w:tcBorders>
              <w:top w:val="single" w:sz="8" w:space="0" w:color="000000"/>
              <w:left w:val="single" w:sz="8" w:space="0" w:color="000000"/>
              <w:bottom w:val="single" w:sz="8" w:space="0" w:color="000000"/>
              <w:right w:val="single" w:sz="8" w:space="0" w:color="000000"/>
            </w:tcBorders>
            <w:vAlign w:val="center"/>
          </w:tcPr>
          <w:p w14:paraId="3D052C9F" w14:textId="77777777" w:rsidR="00661E65" w:rsidRPr="009E1830" w:rsidRDefault="00661E65" w:rsidP="00352F57">
            <w:pPr>
              <w:jc w:val="center"/>
              <w:rPr>
                <w:rFonts w:ascii="Calibri" w:eastAsia="Calibri" w:hAnsi="Calibri" w:cs="Calibri"/>
                <w:color w:val="000000"/>
              </w:rPr>
            </w:pPr>
            <w:r w:rsidRPr="009E1830">
              <w:rPr>
                <w:rFonts w:ascii="Times New Roman" w:eastAsia="Times New Roman" w:hAnsi="Times New Roman" w:cs="Times New Roman"/>
                <w:color w:val="F1C232"/>
                <w:sz w:val="24"/>
              </w:rPr>
              <w:t>7</w:t>
            </w:r>
          </w:p>
        </w:tc>
        <w:tc>
          <w:tcPr>
            <w:tcW w:w="3760" w:type="dxa"/>
            <w:tcBorders>
              <w:top w:val="single" w:sz="8" w:space="0" w:color="000000"/>
              <w:left w:val="single" w:sz="8" w:space="0" w:color="000000"/>
              <w:bottom w:val="single" w:sz="8" w:space="0" w:color="000000"/>
              <w:right w:val="single" w:sz="8" w:space="0" w:color="000000"/>
            </w:tcBorders>
            <w:vAlign w:val="center"/>
          </w:tcPr>
          <w:p w14:paraId="0A8D9FDD" w14:textId="77777777" w:rsidR="00661E65" w:rsidRPr="009E1830" w:rsidRDefault="00661E65" w:rsidP="00352F57">
            <w:pPr>
              <w:ind w:right="10"/>
              <w:jc w:val="center"/>
              <w:rPr>
                <w:rFonts w:ascii="Calibri" w:eastAsia="Calibri" w:hAnsi="Calibri" w:cs="Calibri"/>
                <w:color w:val="000000"/>
              </w:rPr>
            </w:pPr>
            <w:r w:rsidRPr="009E1830">
              <w:rPr>
                <w:rFonts w:ascii="Times New Roman" w:eastAsia="Times New Roman" w:hAnsi="Times New Roman" w:cs="Times New Roman"/>
                <w:color w:val="6AA84F"/>
                <w:sz w:val="24"/>
              </w:rPr>
              <w:t>10</w:t>
            </w:r>
          </w:p>
        </w:tc>
      </w:tr>
      <w:tr w:rsidR="00661E65" w:rsidRPr="009E1830" w14:paraId="361380A1" w14:textId="77777777" w:rsidTr="00352F57">
        <w:trPr>
          <w:trHeight w:val="500"/>
        </w:trPr>
        <w:tc>
          <w:tcPr>
            <w:tcW w:w="2060" w:type="dxa"/>
            <w:tcBorders>
              <w:top w:val="single" w:sz="8" w:space="0" w:color="000000"/>
              <w:left w:val="single" w:sz="8" w:space="0" w:color="000000"/>
              <w:bottom w:val="single" w:sz="8" w:space="0" w:color="000000"/>
              <w:right w:val="single" w:sz="8" w:space="0" w:color="000000"/>
            </w:tcBorders>
            <w:vAlign w:val="center"/>
          </w:tcPr>
          <w:p w14:paraId="4169A300" w14:textId="77777777" w:rsidR="00661E65" w:rsidRPr="009E1830" w:rsidRDefault="00661E65" w:rsidP="00352F57">
            <w:pPr>
              <w:ind w:right="10"/>
              <w:jc w:val="center"/>
              <w:rPr>
                <w:rFonts w:ascii="Calibri" w:eastAsia="Calibri" w:hAnsi="Calibri" w:cs="Calibri"/>
                <w:color w:val="000000"/>
              </w:rPr>
            </w:pPr>
            <w:r w:rsidRPr="009E1830">
              <w:rPr>
                <w:rFonts w:ascii="Times New Roman" w:eastAsia="Times New Roman" w:hAnsi="Times New Roman" w:cs="Times New Roman"/>
                <w:color w:val="000000"/>
                <w:sz w:val="24"/>
              </w:rPr>
              <w:t>CC</w:t>
            </w:r>
          </w:p>
        </w:tc>
        <w:tc>
          <w:tcPr>
            <w:tcW w:w="3480" w:type="dxa"/>
            <w:tcBorders>
              <w:top w:val="single" w:sz="8" w:space="0" w:color="000000"/>
              <w:left w:val="single" w:sz="8" w:space="0" w:color="000000"/>
              <w:bottom w:val="single" w:sz="8" w:space="0" w:color="000000"/>
              <w:right w:val="single" w:sz="8" w:space="0" w:color="000000"/>
            </w:tcBorders>
            <w:vAlign w:val="center"/>
          </w:tcPr>
          <w:p w14:paraId="0C9F2154" w14:textId="77777777" w:rsidR="00661E65" w:rsidRPr="009E1830" w:rsidRDefault="00661E65" w:rsidP="00352F57">
            <w:pPr>
              <w:jc w:val="center"/>
              <w:rPr>
                <w:rFonts w:ascii="Calibri" w:eastAsia="Calibri" w:hAnsi="Calibri" w:cs="Calibri"/>
                <w:color w:val="000000"/>
              </w:rPr>
            </w:pPr>
            <w:r w:rsidRPr="009E1830">
              <w:rPr>
                <w:rFonts w:ascii="Times New Roman" w:eastAsia="Times New Roman" w:hAnsi="Times New Roman" w:cs="Times New Roman"/>
                <w:color w:val="F1C232"/>
                <w:sz w:val="24"/>
              </w:rPr>
              <w:t>8</w:t>
            </w:r>
          </w:p>
        </w:tc>
        <w:tc>
          <w:tcPr>
            <w:tcW w:w="3760" w:type="dxa"/>
            <w:tcBorders>
              <w:top w:val="single" w:sz="8" w:space="0" w:color="000000"/>
              <w:left w:val="single" w:sz="8" w:space="0" w:color="000000"/>
              <w:bottom w:val="single" w:sz="8" w:space="0" w:color="000000"/>
              <w:right w:val="single" w:sz="8" w:space="0" w:color="000000"/>
            </w:tcBorders>
            <w:vAlign w:val="center"/>
          </w:tcPr>
          <w:p w14:paraId="4FCE3D53" w14:textId="77777777" w:rsidR="00661E65" w:rsidRPr="009E1830" w:rsidRDefault="00661E65" w:rsidP="00352F57">
            <w:pPr>
              <w:ind w:right="10"/>
              <w:jc w:val="center"/>
              <w:rPr>
                <w:rFonts w:ascii="Calibri" w:eastAsia="Calibri" w:hAnsi="Calibri" w:cs="Calibri"/>
                <w:color w:val="000000"/>
              </w:rPr>
            </w:pPr>
            <w:r w:rsidRPr="009E1830">
              <w:rPr>
                <w:rFonts w:ascii="Times New Roman" w:eastAsia="Times New Roman" w:hAnsi="Times New Roman" w:cs="Times New Roman"/>
                <w:color w:val="FF0000"/>
                <w:sz w:val="24"/>
              </w:rPr>
              <w:t>7</w:t>
            </w:r>
          </w:p>
        </w:tc>
      </w:tr>
      <w:tr w:rsidR="00661E65" w:rsidRPr="009E1830" w14:paraId="7E927F38" w14:textId="77777777" w:rsidTr="00352F57">
        <w:trPr>
          <w:trHeight w:val="500"/>
        </w:trPr>
        <w:tc>
          <w:tcPr>
            <w:tcW w:w="2060" w:type="dxa"/>
            <w:tcBorders>
              <w:top w:val="single" w:sz="8" w:space="0" w:color="000000"/>
              <w:left w:val="single" w:sz="8" w:space="0" w:color="000000"/>
              <w:bottom w:val="single" w:sz="8" w:space="0" w:color="000000"/>
              <w:right w:val="single" w:sz="8" w:space="0" w:color="000000"/>
            </w:tcBorders>
            <w:vAlign w:val="center"/>
          </w:tcPr>
          <w:p w14:paraId="253A7469" w14:textId="77777777" w:rsidR="00661E65" w:rsidRPr="009E1830" w:rsidRDefault="00661E65" w:rsidP="00352F57">
            <w:pPr>
              <w:ind w:right="10"/>
              <w:jc w:val="center"/>
              <w:rPr>
                <w:rFonts w:ascii="Calibri" w:eastAsia="Calibri" w:hAnsi="Calibri" w:cs="Calibri"/>
                <w:color w:val="000000"/>
              </w:rPr>
            </w:pPr>
            <w:r w:rsidRPr="009E1830">
              <w:rPr>
                <w:rFonts w:ascii="Times New Roman" w:eastAsia="Times New Roman" w:hAnsi="Times New Roman" w:cs="Times New Roman"/>
                <w:color w:val="000000"/>
                <w:sz w:val="24"/>
              </w:rPr>
              <w:t>AC</w:t>
            </w:r>
          </w:p>
        </w:tc>
        <w:tc>
          <w:tcPr>
            <w:tcW w:w="3480" w:type="dxa"/>
            <w:tcBorders>
              <w:top w:val="single" w:sz="8" w:space="0" w:color="000000"/>
              <w:left w:val="single" w:sz="8" w:space="0" w:color="000000"/>
              <w:bottom w:val="single" w:sz="8" w:space="0" w:color="000000"/>
              <w:right w:val="single" w:sz="8" w:space="0" w:color="000000"/>
            </w:tcBorders>
            <w:vAlign w:val="center"/>
          </w:tcPr>
          <w:p w14:paraId="4E90A467" w14:textId="77777777" w:rsidR="00661E65" w:rsidRPr="009E1830" w:rsidRDefault="00661E65" w:rsidP="00352F57">
            <w:pPr>
              <w:jc w:val="center"/>
              <w:rPr>
                <w:rFonts w:ascii="Calibri" w:eastAsia="Calibri" w:hAnsi="Calibri" w:cs="Calibri"/>
                <w:color w:val="000000"/>
              </w:rPr>
            </w:pPr>
            <w:r w:rsidRPr="009E1830">
              <w:rPr>
                <w:rFonts w:ascii="Times New Roman" w:eastAsia="Times New Roman" w:hAnsi="Times New Roman" w:cs="Times New Roman"/>
                <w:color w:val="F1C232"/>
                <w:sz w:val="24"/>
              </w:rPr>
              <w:t>5</w:t>
            </w:r>
          </w:p>
        </w:tc>
        <w:tc>
          <w:tcPr>
            <w:tcW w:w="3760" w:type="dxa"/>
            <w:tcBorders>
              <w:top w:val="single" w:sz="8" w:space="0" w:color="000000"/>
              <w:left w:val="single" w:sz="8" w:space="0" w:color="000000"/>
              <w:bottom w:val="single" w:sz="8" w:space="0" w:color="000000"/>
              <w:right w:val="single" w:sz="8" w:space="0" w:color="000000"/>
            </w:tcBorders>
            <w:vAlign w:val="center"/>
          </w:tcPr>
          <w:p w14:paraId="1DFFEF78" w14:textId="77777777" w:rsidR="00661E65" w:rsidRPr="009E1830" w:rsidRDefault="00661E65" w:rsidP="00352F57">
            <w:pPr>
              <w:ind w:right="10"/>
              <w:jc w:val="center"/>
              <w:rPr>
                <w:rFonts w:ascii="Calibri" w:eastAsia="Calibri" w:hAnsi="Calibri" w:cs="Calibri"/>
                <w:color w:val="000000"/>
              </w:rPr>
            </w:pPr>
            <w:r w:rsidRPr="009E1830">
              <w:rPr>
                <w:rFonts w:ascii="Times New Roman" w:eastAsia="Times New Roman" w:hAnsi="Times New Roman" w:cs="Times New Roman"/>
                <w:color w:val="6AA84F"/>
                <w:sz w:val="24"/>
              </w:rPr>
              <w:t>10</w:t>
            </w:r>
          </w:p>
        </w:tc>
      </w:tr>
      <w:tr w:rsidR="00661E65" w:rsidRPr="009E1830" w14:paraId="67A5C55F" w14:textId="77777777" w:rsidTr="00352F57">
        <w:trPr>
          <w:trHeight w:val="500"/>
        </w:trPr>
        <w:tc>
          <w:tcPr>
            <w:tcW w:w="2060" w:type="dxa"/>
            <w:tcBorders>
              <w:top w:val="single" w:sz="8" w:space="0" w:color="000000"/>
              <w:left w:val="single" w:sz="8" w:space="0" w:color="000000"/>
              <w:bottom w:val="single" w:sz="8" w:space="0" w:color="000000"/>
              <w:right w:val="single" w:sz="8" w:space="0" w:color="000000"/>
            </w:tcBorders>
            <w:vAlign w:val="center"/>
          </w:tcPr>
          <w:p w14:paraId="55278320" w14:textId="77777777" w:rsidR="00661E65" w:rsidRPr="009E1830" w:rsidRDefault="00661E65" w:rsidP="00352F57">
            <w:pPr>
              <w:ind w:right="10"/>
              <w:jc w:val="center"/>
              <w:rPr>
                <w:rFonts w:ascii="Calibri" w:eastAsia="Calibri" w:hAnsi="Calibri" w:cs="Calibri"/>
                <w:color w:val="000000"/>
              </w:rPr>
            </w:pPr>
            <w:r w:rsidRPr="009E1830">
              <w:rPr>
                <w:rFonts w:ascii="Times New Roman" w:eastAsia="Times New Roman" w:hAnsi="Times New Roman" w:cs="Times New Roman"/>
                <w:color w:val="000000"/>
                <w:sz w:val="24"/>
              </w:rPr>
              <w:t>AF</w:t>
            </w:r>
          </w:p>
        </w:tc>
        <w:tc>
          <w:tcPr>
            <w:tcW w:w="3480" w:type="dxa"/>
            <w:tcBorders>
              <w:top w:val="single" w:sz="8" w:space="0" w:color="000000"/>
              <w:left w:val="single" w:sz="8" w:space="0" w:color="000000"/>
              <w:bottom w:val="single" w:sz="8" w:space="0" w:color="000000"/>
              <w:right w:val="single" w:sz="8" w:space="0" w:color="000000"/>
            </w:tcBorders>
            <w:vAlign w:val="center"/>
          </w:tcPr>
          <w:p w14:paraId="67DE3F29" w14:textId="77777777" w:rsidR="00661E65" w:rsidRPr="009E1830" w:rsidRDefault="00661E65" w:rsidP="00352F57">
            <w:pPr>
              <w:jc w:val="center"/>
              <w:rPr>
                <w:rFonts w:ascii="Calibri" w:eastAsia="Calibri" w:hAnsi="Calibri" w:cs="Calibri"/>
                <w:color w:val="000000"/>
              </w:rPr>
            </w:pPr>
            <w:r w:rsidRPr="009E1830">
              <w:rPr>
                <w:rFonts w:ascii="Times New Roman" w:eastAsia="Times New Roman" w:hAnsi="Times New Roman" w:cs="Times New Roman"/>
                <w:color w:val="F1C232"/>
                <w:sz w:val="24"/>
              </w:rPr>
              <w:t>8</w:t>
            </w:r>
          </w:p>
        </w:tc>
        <w:tc>
          <w:tcPr>
            <w:tcW w:w="3760" w:type="dxa"/>
            <w:tcBorders>
              <w:top w:val="single" w:sz="8" w:space="0" w:color="000000"/>
              <w:left w:val="single" w:sz="8" w:space="0" w:color="000000"/>
              <w:bottom w:val="single" w:sz="8" w:space="0" w:color="000000"/>
              <w:right w:val="single" w:sz="8" w:space="0" w:color="000000"/>
            </w:tcBorders>
            <w:vAlign w:val="center"/>
          </w:tcPr>
          <w:p w14:paraId="5429EE3F" w14:textId="77777777" w:rsidR="00661E65" w:rsidRPr="009E1830" w:rsidRDefault="00661E65" w:rsidP="00352F57">
            <w:pPr>
              <w:ind w:right="10"/>
              <w:jc w:val="center"/>
              <w:rPr>
                <w:rFonts w:ascii="Calibri" w:eastAsia="Calibri" w:hAnsi="Calibri" w:cs="Calibri"/>
                <w:color w:val="000000"/>
              </w:rPr>
            </w:pPr>
            <w:r w:rsidRPr="009E1830">
              <w:rPr>
                <w:rFonts w:ascii="Times New Roman" w:eastAsia="Times New Roman" w:hAnsi="Times New Roman" w:cs="Times New Roman"/>
                <w:color w:val="6AA84F"/>
                <w:sz w:val="24"/>
              </w:rPr>
              <w:t>9</w:t>
            </w:r>
          </w:p>
        </w:tc>
      </w:tr>
      <w:tr w:rsidR="00661E65" w:rsidRPr="009E1830" w14:paraId="6E65A56D" w14:textId="77777777" w:rsidTr="00352F57">
        <w:trPr>
          <w:trHeight w:val="500"/>
        </w:trPr>
        <w:tc>
          <w:tcPr>
            <w:tcW w:w="2060" w:type="dxa"/>
            <w:tcBorders>
              <w:top w:val="single" w:sz="8" w:space="0" w:color="000000"/>
              <w:left w:val="single" w:sz="8" w:space="0" w:color="000000"/>
              <w:bottom w:val="single" w:sz="8" w:space="0" w:color="000000"/>
              <w:right w:val="single" w:sz="8" w:space="0" w:color="000000"/>
            </w:tcBorders>
            <w:vAlign w:val="center"/>
          </w:tcPr>
          <w:p w14:paraId="5D91A939" w14:textId="77777777" w:rsidR="00661E65" w:rsidRPr="009E1830" w:rsidRDefault="00661E65" w:rsidP="00352F57">
            <w:pPr>
              <w:ind w:right="10"/>
              <w:jc w:val="center"/>
              <w:rPr>
                <w:rFonts w:ascii="Calibri" w:eastAsia="Calibri" w:hAnsi="Calibri" w:cs="Calibri"/>
                <w:color w:val="000000"/>
              </w:rPr>
            </w:pPr>
            <w:r w:rsidRPr="009E1830">
              <w:rPr>
                <w:rFonts w:ascii="Times New Roman" w:eastAsia="Times New Roman" w:hAnsi="Times New Roman" w:cs="Times New Roman"/>
                <w:color w:val="000000"/>
                <w:sz w:val="24"/>
              </w:rPr>
              <w:t>FH</w:t>
            </w:r>
          </w:p>
        </w:tc>
        <w:tc>
          <w:tcPr>
            <w:tcW w:w="3480" w:type="dxa"/>
            <w:tcBorders>
              <w:top w:val="single" w:sz="8" w:space="0" w:color="000000"/>
              <w:left w:val="single" w:sz="8" w:space="0" w:color="000000"/>
              <w:bottom w:val="single" w:sz="8" w:space="0" w:color="000000"/>
              <w:right w:val="single" w:sz="8" w:space="0" w:color="000000"/>
            </w:tcBorders>
            <w:vAlign w:val="center"/>
          </w:tcPr>
          <w:p w14:paraId="3815D623" w14:textId="77777777" w:rsidR="00661E65" w:rsidRPr="009E1830" w:rsidRDefault="00661E65" w:rsidP="00352F57">
            <w:pPr>
              <w:jc w:val="center"/>
              <w:rPr>
                <w:rFonts w:ascii="Calibri" w:eastAsia="Calibri" w:hAnsi="Calibri" w:cs="Calibri"/>
                <w:color w:val="000000"/>
              </w:rPr>
            </w:pPr>
            <w:r w:rsidRPr="009E1830">
              <w:rPr>
                <w:rFonts w:ascii="Times New Roman" w:eastAsia="Times New Roman" w:hAnsi="Times New Roman" w:cs="Times New Roman"/>
                <w:color w:val="F1C232"/>
                <w:sz w:val="24"/>
              </w:rPr>
              <w:t>5</w:t>
            </w:r>
          </w:p>
        </w:tc>
        <w:tc>
          <w:tcPr>
            <w:tcW w:w="3760" w:type="dxa"/>
            <w:tcBorders>
              <w:top w:val="single" w:sz="8" w:space="0" w:color="000000"/>
              <w:left w:val="single" w:sz="8" w:space="0" w:color="000000"/>
              <w:bottom w:val="single" w:sz="8" w:space="0" w:color="000000"/>
              <w:right w:val="single" w:sz="8" w:space="0" w:color="000000"/>
            </w:tcBorders>
            <w:vAlign w:val="center"/>
          </w:tcPr>
          <w:p w14:paraId="38C4BBCE" w14:textId="77777777" w:rsidR="00661E65" w:rsidRPr="009E1830" w:rsidRDefault="00661E65" w:rsidP="00352F57">
            <w:pPr>
              <w:ind w:right="10"/>
              <w:jc w:val="center"/>
              <w:rPr>
                <w:rFonts w:ascii="Calibri" w:eastAsia="Calibri" w:hAnsi="Calibri" w:cs="Calibri"/>
                <w:color w:val="000000"/>
              </w:rPr>
            </w:pPr>
            <w:r w:rsidRPr="009E1830">
              <w:rPr>
                <w:rFonts w:ascii="Times New Roman" w:eastAsia="Times New Roman" w:hAnsi="Times New Roman" w:cs="Times New Roman"/>
                <w:color w:val="6AA84F"/>
                <w:sz w:val="24"/>
              </w:rPr>
              <w:t>7</w:t>
            </w:r>
          </w:p>
        </w:tc>
      </w:tr>
      <w:tr w:rsidR="00661E65" w:rsidRPr="009E1830" w14:paraId="650F90DD" w14:textId="77777777" w:rsidTr="00352F57">
        <w:trPr>
          <w:trHeight w:val="500"/>
        </w:trPr>
        <w:tc>
          <w:tcPr>
            <w:tcW w:w="2060" w:type="dxa"/>
            <w:tcBorders>
              <w:top w:val="single" w:sz="8" w:space="0" w:color="000000"/>
              <w:left w:val="single" w:sz="8" w:space="0" w:color="000000"/>
              <w:bottom w:val="single" w:sz="8" w:space="0" w:color="000000"/>
              <w:right w:val="single" w:sz="8" w:space="0" w:color="000000"/>
            </w:tcBorders>
          </w:tcPr>
          <w:p w14:paraId="4C882D66" w14:textId="77777777" w:rsidR="00661E65" w:rsidRPr="009E1830" w:rsidRDefault="00661E65" w:rsidP="00352F57">
            <w:pPr>
              <w:ind w:right="10"/>
              <w:jc w:val="center"/>
              <w:rPr>
                <w:rFonts w:ascii="Calibri" w:eastAsia="Calibri" w:hAnsi="Calibri" w:cs="Calibri"/>
                <w:color w:val="000000"/>
              </w:rPr>
            </w:pPr>
            <w:r w:rsidRPr="009E1830">
              <w:rPr>
                <w:rFonts w:ascii="Times New Roman" w:eastAsia="Times New Roman" w:hAnsi="Times New Roman" w:cs="Times New Roman"/>
                <w:color w:val="000000"/>
                <w:sz w:val="24"/>
              </w:rPr>
              <w:t>AH</w:t>
            </w:r>
          </w:p>
        </w:tc>
        <w:tc>
          <w:tcPr>
            <w:tcW w:w="3480" w:type="dxa"/>
            <w:tcBorders>
              <w:top w:val="single" w:sz="8" w:space="0" w:color="000000"/>
              <w:left w:val="single" w:sz="8" w:space="0" w:color="000000"/>
              <w:bottom w:val="single" w:sz="8" w:space="0" w:color="000000"/>
              <w:right w:val="single" w:sz="8" w:space="0" w:color="000000"/>
            </w:tcBorders>
          </w:tcPr>
          <w:p w14:paraId="1F4283FD" w14:textId="77777777" w:rsidR="00661E65" w:rsidRPr="009E1830" w:rsidRDefault="00661E65" w:rsidP="00352F57">
            <w:pPr>
              <w:jc w:val="center"/>
              <w:rPr>
                <w:rFonts w:ascii="Calibri" w:eastAsia="Calibri" w:hAnsi="Calibri" w:cs="Calibri"/>
                <w:color w:val="000000"/>
              </w:rPr>
            </w:pPr>
            <w:r w:rsidRPr="009E1830">
              <w:rPr>
                <w:rFonts w:ascii="Times New Roman" w:eastAsia="Times New Roman" w:hAnsi="Times New Roman" w:cs="Times New Roman"/>
                <w:color w:val="F1C232"/>
                <w:sz w:val="24"/>
              </w:rPr>
              <w:t>7</w:t>
            </w:r>
          </w:p>
        </w:tc>
        <w:tc>
          <w:tcPr>
            <w:tcW w:w="3760" w:type="dxa"/>
            <w:tcBorders>
              <w:top w:val="single" w:sz="8" w:space="0" w:color="000000"/>
              <w:left w:val="single" w:sz="8" w:space="0" w:color="000000"/>
              <w:bottom w:val="single" w:sz="8" w:space="0" w:color="000000"/>
              <w:right w:val="single" w:sz="8" w:space="0" w:color="000000"/>
            </w:tcBorders>
          </w:tcPr>
          <w:p w14:paraId="55CE43E5" w14:textId="77777777" w:rsidR="00661E65" w:rsidRPr="009E1830" w:rsidRDefault="00661E65" w:rsidP="00352F57">
            <w:pPr>
              <w:ind w:right="10"/>
              <w:jc w:val="center"/>
              <w:rPr>
                <w:rFonts w:ascii="Calibri" w:eastAsia="Calibri" w:hAnsi="Calibri" w:cs="Calibri"/>
                <w:color w:val="000000"/>
              </w:rPr>
            </w:pPr>
            <w:r w:rsidRPr="009E1830">
              <w:rPr>
                <w:rFonts w:ascii="Times New Roman" w:eastAsia="Times New Roman" w:hAnsi="Times New Roman" w:cs="Times New Roman"/>
                <w:color w:val="FF0000"/>
                <w:sz w:val="24"/>
              </w:rPr>
              <w:t>6</w:t>
            </w:r>
          </w:p>
        </w:tc>
      </w:tr>
      <w:tr w:rsidR="00661E65" w:rsidRPr="009E1830" w14:paraId="04B5424B" w14:textId="77777777" w:rsidTr="00352F57">
        <w:trPr>
          <w:trHeight w:val="500"/>
        </w:trPr>
        <w:tc>
          <w:tcPr>
            <w:tcW w:w="2060" w:type="dxa"/>
            <w:tcBorders>
              <w:top w:val="single" w:sz="8" w:space="0" w:color="000000"/>
              <w:left w:val="single" w:sz="8" w:space="0" w:color="000000"/>
              <w:bottom w:val="single" w:sz="8" w:space="0" w:color="000000"/>
              <w:right w:val="single" w:sz="8" w:space="0" w:color="000000"/>
            </w:tcBorders>
          </w:tcPr>
          <w:p w14:paraId="213564F9" w14:textId="77777777" w:rsidR="00661E65" w:rsidRPr="009E1830" w:rsidRDefault="00661E65" w:rsidP="00352F57">
            <w:pPr>
              <w:ind w:right="10"/>
              <w:jc w:val="center"/>
              <w:rPr>
                <w:rFonts w:ascii="Calibri" w:eastAsia="Calibri" w:hAnsi="Calibri" w:cs="Calibri"/>
                <w:color w:val="000000"/>
              </w:rPr>
            </w:pPr>
            <w:r w:rsidRPr="009E1830">
              <w:rPr>
                <w:rFonts w:ascii="Times New Roman" w:eastAsia="Times New Roman" w:hAnsi="Times New Roman" w:cs="Times New Roman"/>
                <w:color w:val="000000"/>
                <w:sz w:val="24"/>
              </w:rPr>
              <w:t>NM</w:t>
            </w:r>
          </w:p>
        </w:tc>
        <w:tc>
          <w:tcPr>
            <w:tcW w:w="3480" w:type="dxa"/>
            <w:tcBorders>
              <w:top w:val="single" w:sz="8" w:space="0" w:color="000000"/>
              <w:left w:val="single" w:sz="8" w:space="0" w:color="000000"/>
              <w:bottom w:val="single" w:sz="8" w:space="0" w:color="000000"/>
              <w:right w:val="single" w:sz="8" w:space="0" w:color="000000"/>
            </w:tcBorders>
          </w:tcPr>
          <w:p w14:paraId="186F7382" w14:textId="77777777" w:rsidR="00661E65" w:rsidRPr="009E1830" w:rsidRDefault="00661E65" w:rsidP="00352F57">
            <w:pPr>
              <w:jc w:val="center"/>
              <w:rPr>
                <w:rFonts w:ascii="Calibri" w:eastAsia="Calibri" w:hAnsi="Calibri" w:cs="Calibri"/>
                <w:color w:val="000000"/>
              </w:rPr>
            </w:pPr>
            <w:r w:rsidRPr="009E1830">
              <w:rPr>
                <w:rFonts w:ascii="Times New Roman" w:eastAsia="Times New Roman" w:hAnsi="Times New Roman" w:cs="Times New Roman"/>
                <w:color w:val="F1C232"/>
                <w:sz w:val="24"/>
              </w:rPr>
              <w:t>8</w:t>
            </w:r>
          </w:p>
        </w:tc>
        <w:tc>
          <w:tcPr>
            <w:tcW w:w="3760" w:type="dxa"/>
            <w:tcBorders>
              <w:top w:val="single" w:sz="8" w:space="0" w:color="000000"/>
              <w:left w:val="single" w:sz="8" w:space="0" w:color="000000"/>
              <w:bottom w:val="single" w:sz="8" w:space="0" w:color="000000"/>
              <w:right w:val="single" w:sz="8" w:space="0" w:color="000000"/>
            </w:tcBorders>
          </w:tcPr>
          <w:p w14:paraId="06AF0DE8" w14:textId="77777777" w:rsidR="00661E65" w:rsidRPr="009E1830" w:rsidRDefault="00661E65" w:rsidP="00352F57">
            <w:pPr>
              <w:ind w:right="10"/>
              <w:jc w:val="center"/>
              <w:rPr>
                <w:rFonts w:ascii="Calibri" w:eastAsia="Calibri" w:hAnsi="Calibri" w:cs="Calibri"/>
                <w:color w:val="000000"/>
              </w:rPr>
            </w:pPr>
            <w:r w:rsidRPr="009E1830">
              <w:rPr>
                <w:rFonts w:ascii="Times New Roman" w:eastAsia="Times New Roman" w:hAnsi="Times New Roman" w:cs="Times New Roman"/>
                <w:color w:val="6AA84F"/>
                <w:sz w:val="24"/>
              </w:rPr>
              <w:t>9</w:t>
            </w:r>
          </w:p>
        </w:tc>
      </w:tr>
      <w:tr w:rsidR="00661E65" w:rsidRPr="009E1830" w14:paraId="1724076E" w14:textId="77777777" w:rsidTr="00352F57">
        <w:trPr>
          <w:trHeight w:val="500"/>
        </w:trPr>
        <w:tc>
          <w:tcPr>
            <w:tcW w:w="2060" w:type="dxa"/>
            <w:tcBorders>
              <w:top w:val="single" w:sz="8" w:space="0" w:color="000000"/>
              <w:left w:val="single" w:sz="8" w:space="0" w:color="000000"/>
              <w:bottom w:val="single" w:sz="8" w:space="0" w:color="000000"/>
              <w:right w:val="single" w:sz="8" w:space="0" w:color="000000"/>
            </w:tcBorders>
          </w:tcPr>
          <w:p w14:paraId="38BCF5E3" w14:textId="77777777" w:rsidR="00661E65" w:rsidRPr="009E1830" w:rsidRDefault="00661E65" w:rsidP="00352F57">
            <w:pPr>
              <w:ind w:right="10"/>
              <w:jc w:val="center"/>
              <w:rPr>
                <w:rFonts w:ascii="Calibri" w:eastAsia="Calibri" w:hAnsi="Calibri" w:cs="Calibri"/>
                <w:color w:val="000000"/>
              </w:rPr>
            </w:pPr>
            <w:r w:rsidRPr="009E1830">
              <w:rPr>
                <w:rFonts w:ascii="Times New Roman" w:eastAsia="Times New Roman" w:hAnsi="Times New Roman" w:cs="Times New Roman"/>
                <w:color w:val="000000"/>
                <w:sz w:val="24"/>
              </w:rPr>
              <w:t>TM</w:t>
            </w:r>
          </w:p>
        </w:tc>
        <w:tc>
          <w:tcPr>
            <w:tcW w:w="3480" w:type="dxa"/>
            <w:tcBorders>
              <w:top w:val="single" w:sz="8" w:space="0" w:color="000000"/>
              <w:left w:val="single" w:sz="8" w:space="0" w:color="000000"/>
              <w:bottom w:val="single" w:sz="8" w:space="0" w:color="000000"/>
              <w:right w:val="single" w:sz="8" w:space="0" w:color="000000"/>
            </w:tcBorders>
          </w:tcPr>
          <w:p w14:paraId="4431D99C" w14:textId="77777777" w:rsidR="00661E65" w:rsidRPr="009E1830" w:rsidRDefault="00661E65" w:rsidP="00352F57">
            <w:pPr>
              <w:jc w:val="center"/>
              <w:rPr>
                <w:rFonts w:ascii="Calibri" w:eastAsia="Calibri" w:hAnsi="Calibri" w:cs="Calibri"/>
                <w:color w:val="000000"/>
              </w:rPr>
            </w:pPr>
            <w:r w:rsidRPr="009E1830">
              <w:rPr>
                <w:rFonts w:ascii="Times New Roman" w:eastAsia="Times New Roman" w:hAnsi="Times New Roman" w:cs="Times New Roman"/>
                <w:color w:val="F1C232"/>
                <w:sz w:val="24"/>
              </w:rPr>
              <w:t>6</w:t>
            </w:r>
          </w:p>
        </w:tc>
        <w:tc>
          <w:tcPr>
            <w:tcW w:w="3760" w:type="dxa"/>
            <w:tcBorders>
              <w:top w:val="single" w:sz="8" w:space="0" w:color="000000"/>
              <w:left w:val="single" w:sz="8" w:space="0" w:color="000000"/>
              <w:bottom w:val="single" w:sz="8" w:space="0" w:color="000000"/>
              <w:right w:val="single" w:sz="8" w:space="0" w:color="000000"/>
            </w:tcBorders>
          </w:tcPr>
          <w:p w14:paraId="47760ED6" w14:textId="77777777" w:rsidR="00661E65" w:rsidRPr="009E1830" w:rsidRDefault="00661E65" w:rsidP="00352F57">
            <w:pPr>
              <w:ind w:right="10"/>
              <w:jc w:val="center"/>
              <w:rPr>
                <w:rFonts w:ascii="Calibri" w:eastAsia="Calibri" w:hAnsi="Calibri" w:cs="Calibri"/>
                <w:color w:val="000000"/>
              </w:rPr>
            </w:pPr>
            <w:r w:rsidRPr="009E1830">
              <w:rPr>
                <w:rFonts w:ascii="Times New Roman" w:eastAsia="Times New Roman" w:hAnsi="Times New Roman" w:cs="Times New Roman"/>
                <w:color w:val="6AA84F"/>
                <w:sz w:val="24"/>
              </w:rPr>
              <w:t>10</w:t>
            </w:r>
          </w:p>
        </w:tc>
      </w:tr>
      <w:tr w:rsidR="00661E65" w:rsidRPr="009E1830" w14:paraId="7B7E2B1F" w14:textId="77777777" w:rsidTr="00352F57">
        <w:trPr>
          <w:trHeight w:val="500"/>
        </w:trPr>
        <w:tc>
          <w:tcPr>
            <w:tcW w:w="2060" w:type="dxa"/>
            <w:tcBorders>
              <w:top w:val="single" w:sz="8" w:space="0" w:color="000000"/>
              <w:left w:val="single" w:sz="8" w:space="0" w:color="000000"/>
              <w:bottom w:val="single" w:sz="8" w:space="0" w:color="000000"/>
              <w:right w:val="single" w:sz="8" w:space="0" w:color="000000"/>
            </w:tcBorders>
          </w:tcPr>
          <w:p w14:paraId="5C3DB8B6" w14:textId="77777777" w:rsidR="00661E65" w:rsidRPr="009E1830" w:rsidRDefault="00661E65" w:rsidP="00352F57">
            <w:pPr>
              <w:ind w:right="10"/>
              <w:jc w:val="center"/>
              <w:rPr>
                <w:rFonts w:ascii="Calibri" w:eastAsia="Calibri" w:hAnsi="Calibri" w:cs="Calibri"/>
                <w:color w:val="000000"/>
              </w:rPr>
            </w:pPr>
            <w:r w:rsidRPr="009E1830">
              <w:rPr>
                <w:rFonts w:ascii="Times New Roman" w:eastAsia="Times New Roman" w:hAnsi="Times New Roman" w:cs="Times New Roman"/>
                <w:color w:val="000000"/>
                <w:sz w:val="24"/>
              </w:rPr>
              <w:t>LM</w:t>
            </w:r>
          </w:p>
        </w:tc>
        <w:tc>
          <w:tcPr>
            <w:tcW w:w="3480" w:type="dxa"/>
            <w:tcBorders>
              <w:top w:val="single" w:sz="8" w:space="0" w:color="000000"/>
              <w:left w:val="single" w:sz="8" w:space="0" w:color="000000"/>
              <w:bottom w:val="single" w:sz="8" w:space="0" w:color="000000"/>
              <w:right w:val="single" w:sz="8" w:space="0" w:color="000000"/>
            </w:tcBorders>
          </w:tcPr>
          <w:p w14:paraId="46E40F55" w14:textId="77777777" w:rsidR="00661E65" w:rsidRPr="009E1830" w:rsidRDefault="00661E65" w:rsidP="00352F57">
            <w:pPr>
              <w:jc w:val="center"/>
              <w:rPr>
                <w:rFonts w:ascii="Calibri" w:eastAsia="Calibri" w:hAnsi="Calibri" w:cs="Calibri"/>
                <w:color w:val="000000"/>
              </w:rPr>
            </w:pPr>
            <w:r w:rsidRPr="009E1830">
              <w:rPr>
                <w:rFonts w:ascii="Times New Roman" w:eastAsia="Times New Roman" w:hAnsi="Times New Roman" w:cs="Times New Roman"/>
                <w:color w:val="F1C232"/>
                <w:sz w:val="24"/>
              </w:rPr>
              <w:t>6</w:t>
            </w:r>
          </w:p>
        </w:tc>
        <w:tc>
          <w:tcPr>
            <w:tcW w:w="3760" w:type="dxa"/>
            <w:tcBorders>
              <w:top w:val="single" w:sz="8" w:space="0" w:color="000000"/>
              <w:left w:val="single" w:sz="8" w:space="0" w:color="000000"/>
              <w:bottom w:val="single" w:sz="8" w:space="0" w:color="000000"/>
              <w:right w:val="single" w:sz="8" w:space="0" w:color="000000"/>
            </w:tcBorders>
          </w:tcPr>
          <w:p w14:paraId="362D1B54" w14:textId="77777777" w:rsidR="00661E65" w:rsidRPr="009E1830" w:rsidRDefault="00661E65" w:rsidP="00352F57">
            <w:pPr>
              <w:ind w:right="10"/>
              <w:jc w:val="center"/>
              <w:rPr>
                <w:rFonts w:ascii="Calibri" w:eastAsia="Calibri" w:hAnsi="Calibri" w:cs="Calibri"/>
                <w:color w:val="000000"/>
              </w:rPr>
            </w:pPr>
            <w:r w:rsidRPr="009E1830">
              <w:rPr>
                <w:rFonts w:ascii="Times New Roman" w:eastAsia="Times New Roman" w:hAnsi="Times New Roman" w:cs="Times New Roman"/>
                <w:color w:val="FF0000"/>
                <w:sz w:val="24"/>
              </w:rPr>
              <w:t>0 - Cheated on exam**</w:t>
            </w:r>
          </w:p>
        </w:tc>
      </w:tr>
      <w:tr w:rsidR="00661E65" w:rsidRPr="009E1830" w14:paraId="61207F5C" w14:textId="77777777" w:rsidTr="00352F57">
        <w:trPr>
          <w:trHeight w:val="500"/>
        </w:trPr>
        <w:tc>
          <w:tcPr>
            <w:tcW w:w="2060" w:type="dxa"/>
            <w:tcBorders>
              <w:top w:val="single" w:sz="8" w:space="0" w:color="000000"/>
              <w:left w:val="single" w:sz="8" w:space="0" w:color="000000"/>
              <w:bottom w:val="single" w:sz="8" w:space="0" w:color="000000"/>
              <w:right w:val="single" w:sz="8" w:space="0" w:color="000000"/>
            </w:tcBorders>
          </w:tcPr>
          <w:p w14:paraId="32493AA6" w14:textId="77777777" w:rsidR="00661E65" w:rsidRPr="009E1830" w:rsidRDefault="00661E65" w:rsidP="00352F57">
            <w:pPr>
              <w:ind w:right="10"/>
              <w:jc w:val="center"/>
              <w:rPr>
                <w:rFonts w:ascii="Calibri" w:eastAsia="Calibri" w:hAnsi="Calibri" w:cs="Calibri"/>
                <w:color w:val="000000"/>
              </w:rPr>
            </w:pPr>
            <w:r w:rsidRPr="009E1830">
              <w:rPr>
                <w:rFonts w:ascii="Times New Roman" w:eastAsia="Times New Roman" w:hAnsi="Times New Roman" w:cs="Times New Roman"/>
                <w:color w:val="000000"/>
                <w:sz w:val="24"/>
              </w:rPr>
              <w:t>BO</w:t>
            </w:r>
          </w:p>
        </w:tc>
        <w:tc>
          <w:tcPr>
            <w:tcW w:w="3480" w:type="dxa"/>
            <w:tcBorders>
              <w:top w:val="single" w:sz="8" w:space="0" w:color="000000"/>
              <w:left w:val="single" w:sz="8" w:space="0" w:color="000000"/>
              <w:bottom w:val="single" w:sz="8" w:space="0" w:color="000000"/>
              <w:right w:val="single" w:sz="8" w:space="0" w:color="000000"/>
            </w:tcBorders>
          </w:tcPr>
          <w:p w14:paraId="3E5BCBD8" w14:textId="77777777" w:rsidR="00661E65" w:rsidRPr="009E1830" w:rsidRDefault="00661E65" w:rsidP="00352F57">
            <w:pPr>
              <w:jc w:val="center"/>
              <w:rPr>
                <w:rFonts w:ascii="Calibri" w:eastAsia="Calibri" w:hAnsi="Calibri" w:cs="Calibri"/>
                <w:color w:val="000000"/>
              </w:rPr>
            </w:pPr>
            <w:r w:rsidRPr="009E1830">
              <w:rPr>
                <w:rFonts w:ascii="Times New Roman" w:eastAsia="Times New Roman" w:hAnsi="Times New Roman" w:cs="Times New Roman"/>
                <w:color w:val="F1C232"/>
                <w:sz w:val="24"/>
              </w:rPr>
              <w:t>5</w:t>
            </w:r>
          </w:p>
        </w:tc>
        <w:tc>
          <w:tcPr>
            <w:tcW w:w="3760" w:type="dxa"/>
            <w:tcBorders>
              <w:top w:val="single" w:sz="8" w:space="0" w:color="000000"/>
              <w:left w:val="single" w:sz="8" w:space="0" w:color="000000"/>
              <w:bottom w:val="single" w:sz="8" w:space="0" w:color="000000"/>
              <w:right w:val="single" w:sz="8" w:space="0" w:color="000000"/>
            </w:tcBorders>
          </w:tcPr>
          <w:p w14:paraId="62A7F9A1" w14:textId="77777777" w:rsidR="00661E65" w:rsidRPr="009E1830" w:rsidRDefault="00661E65" w:rsidP="00352F57">
            <w:pPr>
              <w:ind w:right="10"/>
              <w:jc w:val="center"/>
              <w:rPr>
                <w:rFonts w:ascii="Calibri" w:eastAsia="Calibri" w:hAnsi="Calibri" w:cs="Calibri"/>
                <w:color w:val="000000"/>
              </w:rPr>
            </w:pPr>
            <w:r w:rsidRPr="009E1830">
              <w:rPr>
                <w:rFonts w:ascii="Times New Roman" w:eastAsia="Times New Roman" w:hAnsi="Times New Roman" w:cs="Times New Roman"/>
                <w:color w:val="6AA84F"/>
                <w:sz w:val="24"/>
              </w:rPr>
              <w:t>10</w:t>
            </w:r>
          </w:p>
        </w:tc>
      </w:tr>
      <w:tr w:rsidR="00661E65" w:rsidRPr="009E1830" w14:paraId="778E0763" w14:textId="77777777" w:rsidTr="00352F57">
        <w:trPr>
          <w:trHeight w:val="520"/>
        </w:trPr>
        <w:tc>
          <w:tcPr>
            <w:tcW w:w="2060" w:type="dxa"/>
            <w:tcBorders>
              <w:top w:val="single" w:sz="8" w:space="0" w:color="000000"/>
              <w:left w:val="single" w:sz="8" w:space="0" w:color="000000"/>
              <w:bottom w:val="single" w:sz="8" w:space="0" w:color="000000"/>
              <w:right w:val="single" w:sz="8" w:space="0" w:color="000000"/>
            </w:tcBorders>
            <w:vAlign w:val="center"/>
          </w:tcPr>
          <w:p w14:paraId="36C2DF83" w14:textId="77777777" w:rsidR="00661E65" w:rsidRPr="009E1830" w:rsidRDefault="00661E65" w:rsidP="00352F57">
            <w:pPr>
              <w:ind w:right="10"/>
              <w:jc w:val="center"/>
              <w:rPr>
                <w:rFonts w:ascii="Calibri" w:eastAsia="Calibri" w:hAnsi="Calibri" w:cs="Calibri"/>
                <w:color w:val="000000"/>
              </w:rPr>
            </w:pPr>
            <w:r w:rsidRPr="009E1830">
              <w:rPr>
                <w:rFonts w:ascii="Times New Roman" w:eastAsia="Times New Roman" w:hAnsi="Times New Roman" w:cs="Times New Roman"/>
                <w:color w:val="000000"/>
                <w:sz w:val="24"/>
              </w:rPr>
              <w:lastRenderedPageBreak/>
              <w:t>JP</w:t>
            </w:r>
          </w:p>
        </w:tc>
        <w:tc>
          <w:tcPr>
            <w:tcW w:w="3480" w:type="dxa"/>
            <w:tcBorders>
              <w:top w:val="single" w:sz="8" w:space="0" w:color="000000"/>
              <w:left w:val="single" w:sz="8" w:space="0" w:color="000000"/>
              <w:bottom w:val="single" w:sz="8" w:space="0" w:color="000000"/>
              <w:right w:val="single" w:sz="8" w:space="0" w:color="000000"/>
            </w:tcBorders>
            <w:vAlign w:val="center"/>
          </w:tcPr>
          <w:p w14:paraId="6D057E6D" w14:textId="77777777" w:rsidR="00661E65" w:rsidRPr="009E1830" w:rsidRDefault="00661E65" w:rsidP="00352F57">
            <w:pPr>
              <w:jc w:val="center"/>
              <w:rPr>
                <w:rFonts w:ascii="Calibri" w:eastAsia="Calibri" w:hAnsi="Calibri" w:cs="Calibri"/>
                <w:color w:val="000000"/>
              </w:rPr>
            </w:pPr>
            <w:r w:rsidRPr="009E1830">
              <w:rPr>
                <w:rFonts w:ascii="Times New Roman" w:eastAsia="Times New Roman" w:hAnsi="Times New Roman" w:cs="Times New Roman"/>
                <w:color w:val="F1C232"/>
                <w:sz w:val="24"/>
              </w:rPr>
              <w:t>6</w:t>
            </w:r>
          </w:p>
        </w:tc>
        <w:tc>
          <w:tcPr>
            <w:tcW w:w="3760" w:type="dxa"/>
            <w:tcBorders>
              <w:top w:val="single" w:sz="8" w:space="0" w:color="000000"/>
              <w:left w:val="single" w:sz="8" w:space="0" w:color="000000"/>
              <w:bottom w:val="single" w:sz="8" w:space="0" w:color="000000"/>
              <w:right w:val="single" w:sz="8" w:space="0" w:color="000000"/>
            </w:tcBorders>
            <w:vAlign w:val="center"/>
          </w:tcPr>
          <w:p w14:paraId="06D013A3" w14:textId="77777777" w:rsidR="00661E65" w:rsidRPr="009E1830" w:rsidRDefault="00661E65" w:rsidP="00352F57">
            <w:pPr>
              <w:ind w:right="10"/>
              <w:jc w:val="center"/>
              <w:rPr>
                <w:rFonts w:ascii="Calibri" w:eastAsia="Calibri" w:hAnsi="Calibri" w:cs="Calibri"/>
                <w:color w:val="000000"/>
              </w:rPr>
            </w:pPr>
            <w:r w:rsidRPr="009E1830">
              <w:rPr>
                <w:rFonts w:ascii="Times New Roman" w:eastAsia="Times New Roman" w:hAnsi="Times New Roman" w:cs="Times New Roman"/>
                <w:color w:val="6AA84F"/>
                <w:sz w:val="24"/>
              </w:rPr>
              <w:t>9</w:t>
            </w:r>
          </w:p>
        </w:tc>
      </w:tr>
      <w:tr w:rsidR="00661E65" w:rsidRPr="009E1830" w14:paraId="090A4383" w14:textId="77777777" w:rsidTr="00352F57">
        <w:trPr>
          <w:trHeight w:val="500"/>
        </w:trPr>
        <w:tc>
          <w:tcPr>
            <w:tcW w:w="2060" w:type="dxa"/>
            <w:tcBorders>
              <w:top w:val="single" w:sz="8" w:space="0" w:color="000000"/>
              <w:left w:val="single" w:sz="8" w:space="0" w:color="000000"/>
              <w:bottom w:val="single" w:sz="8" w:space="0" w:color="000000"/>
              <w:right w:val="single" w:sz="8" w:space="0" w:color="000000"/>
            </w:tcBorders>
            <w:vAlign w:val="center"/>
          </w:tcPr>
          <w:p w14:paraId="1EBE637E" w14:textId="77777777" w:rsidR="00661E65" w:rsidRPr="009E1830" w:rsidRDefault="00661E65" w:rsidP="00352F57">
            <w:pPr>
              <w:ind w:right="10"/>
              <w:jc w:val="center"/>
              <w:rPr>
                <w:rFonts w:ascii="Calibri" w:eastAsia="Calibri" w:hAnsi="Calibri" w:cs="Calibri"/>
                <w:color w:val="000000"/>
              </w:rPr>
            </w:pPr>
            <w:r w:rsidRPr="009E1830">
              <w:rPr>
                <w:rFonts w:ascii="Times New Roman" w:eastAsia="Times New Roman" w:hAnsi="Times New Roman" w:cs="Times New Roman"/>
                <w:color w:val="000000"/>
                <w:sz w:val="24"/>
              </w:rPr>
              <w:t>BR</w:t>
            </w:r>
          </w:p>
        </w:tc>
        <w:tc>
          <w:tcPr>
            <w:tcW w:w="3480" w:type="dxa"/>
            <w:tcBorders>
              <w:top w:val="single" w:sz="8" w:space="0" w:color="000000"/>
              <w:left w:val="single" w:sz="8" w:space="0" w:color="000000"/>
              <w:bottom w:val="single" w:sz="8" w:space="0" w:color="000000"/>
              <w:right w:val="single" w:sz="8" w:space="0" w:color="000000"/>
            </w:tcBorders>
            <w:vAlign w:val="center"/>
          </w:tcPr>
          <w:p w14:paraId="08FB9C70" w14:textId="77777777" w:rsidR="00661E65" w:rsidRPr="009E1830" w:rsidRDefault="00661E65" w:rsidP="00352F57">
            <w:pPr>
              <w:jc w:val="center"/>
              <w:rPr>
                <w:rFonts w:ascii="Calibri" w:eastAsia="Calibri" w:hAnsi="Calibri" w:cs="Calibri"/>
                <w:color w:val="000000"/>
              </w:rPr>
            </w:pPr>
            <w:r w:rsidRPr="009E1830">
              <w:rPr>
                <w:rFonts w:ascii="Times New Roman" w:eastAsia="Times New Roman" w:hAnsi="Times New Roman" w:cs="Times New Roman"/>
                <w:color w:val="F1C232"/>
                <w:sz w:val="24"/>
              </w:rPr>
              <w:t>7</w:t>
            </w:r>
          </w:p>
        </w:tc>
        <w:tc>
          <w:tcPr>
            <w:tcW w:w="3760" w:type="dxa"/>
            <w:tcBorders>
              <w:top w:val="single" w:sz="8" w:space="0" w:color="000000"/>
              <w:left w:val="single" w:sz="8" w:space="0" w:color="000000"/>
              <w:bottom w:val="single" w:sz="8" w:space="0" w:color="000000"/>
              <w:right w:val="single" w:sz="8" w:space="0" w:color="000000"/>
            </w:tcBorders>
            <w:vAlign w:val="center"/>
          </w:tcPr>
          <w:p w14:paraId="37AD28FD" w14:textId="77777777" w:rsidR="00661E65" w:rsidRPr="009E1830" w:rsidRDefault="00661E65" w:rsidP="00352F57">
            <w:pPr>
              <w:ind w:right="10"/>
              <w:jc w:val="center"/>
              <w:rPr>
                <w:rFonts w:ascii="Calibri" w:eastAsia="Calibri" w:hAnsi="Calibri" w:cs="Calibri"/>
                <w:color w:val="000000"/>
              </w:rPr>
            </w:pPr>
            <w:r w:rsidRPr="009E1830">
              <w:rPr>
                <w:rFonts w:ascii="Times New Roman" w:eastAsia="Times New Roman" w:hAnsi="Times New Roman" w:cs="Times New Roman"/>
                <w:color w:val="FF0000"/>
                <w:sz w:val="24"/>
              </w:rPr>
              <w:t>6</w:t>
            </w:r>
          </w:p>
        </w:tc>
      </w:tr>
      <w:tr w:rsidR="00661E65" w:rsidRPr="009E1830" w14:paraId="2519DC03" w14:textId="77777777" w:rsidTr="00352F57">
        <w:trPr>
          <w:trHeight w:val="500"/>
        </w:trPr>
        <w:tc>
          <w:tcPr>
            <w:tcW w:w="2060" w:type="dxa"/>
            <w:tcBorders>
              <w:top w:val="single" w:sz="8" w:space="0" w:color="000000"/>
              <w:left w:val="single" w:sz="8" w:space="0" w:color="000000"/>
              <w:bottom w:val="single" w:sz="8" w:space="0" w:color="000000"/>
              <w:right w:val="single" w:sz="8" w:space="0" w:color="000000"/>
            </w:tcBorders>
            <w:vAlign w:val="center"/>
          </w:tcPr>
          <w:p w14:paraId="69CCA4A5" w14:textId="77777777" w:rsidR="00661E65" w:rsidRPr="009E1830" w:rsidRDefault="00661E65" w:rsidP="00352F57">
            <w:pPr>
              <w:ind w:right="10"/>
              <w:jc w:val="center"/>
              <w:rPr>
                <w:rFonts w:ascii="Calibri" w:eastAsia="Calibri" w:hAnsi="Calibri" w:cs="Calibri"/>
                <w:color w:val="000000"/>
              </w:rPr>
            </w:pPr>
            <w:r w:rsidRPr="009E1830">
              <w:rPr>
                <w:rFonts w:ascii="Times New Roman" w:eastAsia="Times New Roman" w:hAnsi="Times New Roman" w:cs="Times New Roman"/>
                <w:color w:val="000000"/>
                <w:sz w:val="24"/>
              </w:rPr>
              <w:t>KR</w:t>
            </w:r>
          </w:p>
        </w:tc>
        <w:tc>
          <w:tcPr>
            <w:tcW w:w="3480" w:type="dxa"/>
            <w:tcBorders>
              <w:top w:val="single" w:sz="8" w:space="0" w:color="000000"/>
              <w:left w:val="single" w:sz="8" w:space="0" w:color="000000"/>
              <w:bottom w:val="single" w:sz="8" w:space="0" w:color="000000"/>
              <w:right w:val="single" w:sz="8" w:space="0" w:color="000000"/>
            </w:tcBorders>
            <w:vAlign w:val="center"/>
          </w:tcPr>
          <w:p w14:paraId="6AD546A6" w14:textId="77777777" w:rsidR="00661E65" w:rsidRPr="009E1830" w:rsidRDefault="00661E65" w:rsidP="00352F57">
            <w:pPr>
              <w:jc w:val="center"/>
              <w:rPr>
                <w:rFonts w:ascii="Calibri" w:eastAsia="Calibri" w:hAnsi="Calibri" w:cs="Calibri"/>
                <w:color w:val="000000"/>
              </w:rPr>
            </w:pPr>
            <w:r w:rsidRPr="009E1830">
              <w:rPr>
                <w:rFonts w:ascii="Times New Roman" w:eastAsia="Times New Roman" w:hAnsi="Times New Roman" w:cs="Times New Roman"/>
                <w:color w:val="F1C232"/>
                <w:sz w:val="24"/>
              </w:rPr>
              <w:t>3</w:t>
            </w:r>
          </w:p>
        </w:tc>
        <w:tc>
          <w:tcPr>
            <w:tcW w:w="3760" w:type="dxa"/>
            <w:tcBorders>
              <w:top w:val="single" w:sz="8" w:space="0" w:color="000000"/>
              <w:left w:val="single" w:sz="8" w:space="0" w:color="000000"/>
              <w:bottom w:val="single" w:sz="8" w:space="0" w:color="000000"/>
              <w:right w:val="single" w:sz="8" w:space="0" w:color="000000"/>
            </w:tcBorders>
            <w:vAlign w:val="center"/>
          </w:tcPr>
          <w:p w14:paraId="1304400D" w14:textId="77777777" w:rsidR="00661E65" w:rsidRPr="009E1830" w:rsidRDefault="00661E65" w:rsidP="00352F57">
            <w:pPr>
              <w:ind w:right="10"/>
              <w:jc w:val="center"/>
              <w:rPr>
                <w:rFonts w:ascii="Calibri" w:eastAsia="Calibri" w:hAnsi="Calibri" w:cs="Calibri"/>
                <w:color w:val="000000"/>
              </w:rPr>
            </w:pPr>
            <w:r w:rsidRPr="009E1830">
              <w:rPr>
                <w:rFonts w:ascii="Times New Roman" w:eastAsia="Times New Roman" w:hAnsi="Times New Roman" w:cs="Times New Roman"/>
                <w:color w:val="6AA84F"/>
                <w:sz w:val="24"/>
              </w:rPr>
              <w:t>10</w:t>
            </w:r>
          </w:p>
        </w:tc>
      </w:tr>
      <w:tr w:rsidR="00661E65" w:rsidRPr="009E1830" w14:paraId="78883905" w14:textId="77777777" w:rsidTr="00352F57">
        <w:trPr>
          <w:trHeight w:val="500"/>
        </w:trPr>
        <w:tc>
          <w:tcPr>
            <w:tcW w:w="2060" w:type="dxa"/>
            <w:tcBorders>
              <w:top w:val="single" w:sz="8" w:space="0" w:color="000000"/>
              <w:left w:val="single" w:sz="8" w:space="0" w:color="000000"/>
              <w:bottom w:val="single" w:sz="8" w:space="0" w:color="000000"/>
              <w:right w:val="single" w:sz="8" w:space="0" w:color="000000"/>
            </w:tcBorders>
            <w:vAlign w:val="center"/>
          </w:tcPr>
          <w:p w14:paraId="6C1A15C9" w14:textId="77777777" w:rsidR="00661E65" w:rsidRPr="009E1830" w:rsidRDefault="00661E65" w:rsidP="00352F57">
            <w:pPr>
              <w:ind w:right="10"/>
              <w:jc w:val="center"/>
              <w:rPr>
                <w:rFonts w:ascii="Calibri" w:eastAsia="Calibri" w:hAnsi="Calibri" w:cs="Calibri"/>
                <w:color w:val="000000"/>
              </w:rPr>
            </w:pPr>
            <w:r w:rsidRPr="009E1830">
              <w:rPr>
                <w:rFonts w:ascii="Times New Roman" w:eastAsia="Times New Roman" w:hAnsi="Times New Roman" w:cs="Times New Roman"/>
                <w:color w:val="000000"/>
                <w:sz w:val="24"/>
              </w:rPr>
              <w:t>JS</w:t>
            </w:r>
          </w:p>
        </w:tc>
        <w:tc>
          <w:tcPr>
            <w:tcW w:w="3480" w:type="dxa"/>
            <w:tcBorders>
              <w:top w:val="single" w:sz="8" w:space="0" w:color="000000"/>
              <w:left w:val="single" w:sz="8" w:space="0" w:color="000000"/>
              <w:bottom w:val="single" w:sz="8" w:space="0" w:color="000000"/>
              <w:right w:val="single" w:sz="8" w:space="0" w:color="000000"/>
            </w:tcBorders>
            <w:vAlign w:val="center"/>
          </w:tcPr>
          <w:p w14:paraId="3FC2B0C9" w14:textId="77777777" w:rsidR="00661E65" w:rsidRPr="009E1830" w:rsidRDefault="00661E65" w:rsidP="00352F57">
            <w:pPr>
              <w:jc w:val="center"/>
              <w:rPr>
                <w:rFonts w:ascii="Calibri" w:eastAsia="Calibri" w:hAnsi="Calibri" w:cs="Calibri"/>
                <w:color w:val="000000"/>
              </w:rPr>
            </w:pPr>
            <w:r w:rsidRPr="009E1830">
              <w:rPr>
                <w:rFonts w:ascii="Times New Roman" w:eastAsia="Times New Roman" w:hAnsi="Times New Roman" w:cs="Times New Roman"/>
                <w:color w:val="F1C232"/>
                <w:sz w:val="24"/>
              </w:rPr>
              <w:t>6</w:t>
            </w:r>
          </w:p>
        </w:tc>
        <w:tc>
          <w:tcPr>
            <w:tcW w:w="3760" w:type="dxa"/>
            <w:tcBorders>
              <w:top w:val="single" w:sz="8" w:space="0" w:color="000000"/>
              <w:left w:val="single" w:sz="8" w:space="0" w:color="000000"/>
              <w:bottom w:val="single" w:sz="8" w:space="0" w:color="000000"/>
              <w:right w:val="single" w:sz="8" w:space="0" w:color="000000"/>
            </w:tcBorders>
            <w:vAlign w:val="center"/>
          </w:tcPr>
          <w:p w14:paraId="2B04F719" w14:textId="77777777" w:rsidR="00661E65" w:rsidRPr="009E1830" w:rsidRDefault="00661E65" w:rsidP="00352F57">
            <w:pPr>
              <w:ind w:right="10"/>
              <w:jc w:val="center"/>
              <w:rPr>
                <w:rFonts w:ascii="Calibri" w:eastAsia="Calibri" w:hAnsi="Calibri" w:cs="Calibri"/>
                <w:color w:val="000000"/>
              </w:rPr>
            </w:pPr>
            <w:r w:rsidRPr="009E1830">
              <w:rPr>
                <w:rFonts w:ascii="Times New Roman" w:eastAsia="Times New Roman" w:hAnsi="Times New Roman" w:cs="Times New Roman"/>
                <w:color w:val="6AA84F"/>
                <w:sz w:val="24"/>
              </w:rPr>
              <w:t>7</w:t>
            </w:r>
          </w:p>
        </w:tc>
      </w:tr>
      <w:tr w:rsidR="00661E65" w:rsidRPr="009E1830" w14:paraId="179D2ACB" w14:textId="77777777" w:rsidTr="00352F57">
        <w:trPr>
          <w:trHeight w:val="500"/>
        </w:trPr>
        <w:tc>
          <w:tcPr>
            <w:tcW w:w="2060" w:type="dxa"/>
            <w:tcBorders>
              <w:top w:val="single" w:sz="8" w:space="0" w:color="000000"/>
              <w:left w:val="single" w:sz="8" w:space="0" w:color="000000"/>
              <w:bottom w:val="single" w:sz="8" w:space="0" w:color="000000"/>
              <w:right w:val="single" w:sz="8" w:space="0" w:color="000000"/>
            </w:tcBorders>
            <w:vAlign w:val="center"/>
          </w:tcPr>
          <w:p w14:paraId="1D0064D6" w14:textId="77777777" w:rsidR="00661E65" w:rsidRPr="009E1830" w:rsidRDefault="00661E65" w:rsidP="00352F57">
            <w:pPr>
              <w:ind w:right="10"/>
              <w:jc w:val="center"/>
              <w:rPr>
                <w:rFonts w:ascii="Calibri" w:eastAsia="Calibri" w:hAnsi="Calibri" w:cs="Calibri"/>
                <w:color w:val="000000"/>
              </w:rPr>
            </w:pPr>
            <w:r w:rsidRPr="009E1830">
              <w:rPr>
                <w:rFonts w:ascii="Times New Roman" w:eastAsia="Times New Roman" w:hAnsi="Times New Roman" w:cs="Times New Roman"/>
                <w:color w:val="000000"/>
                <w:sz w:val="24"/>
              </w:rPr>
              <w:t>IT</w:t>
            </w:r>
          </w:p>
        </w:tc>
        <w:tc>
          <w:tcPr>
            <w:tcW w:w="3480" w:type="dxa"/>
            <w:tcBorders>
              <w:top w:val="single" w:sz="8" w:space="0" w:color="000000"/>
              <w:left w:val="single" w:sz="8" w:space="0" w:color="000000"/>
              <w:bottom w:val="single" w:sz="8" w:space="0" w:color="000000"/>
              <w:right w:val="single" w:sz="8" w:space="0" w:color="000000"/>
            </w:tcBorders>
            <w:vAlign w:val="center"/>
          </w:tcPr>
          <w:p w14:paraId="33292E80" w14:textId="77777777" w:rsidR="00661E65" w:rsidRPr="009E1830" w:rsidRDefault="00661E65" w:rsidP="00352F57">
            <w:pPr>
              <w:jc w:val="center"/>
              <w:rPr>
                <w:rFonts w:ascii="Calibri" w:eastAsia="Calibri" w:hAnsi="Calibri" w:cs="Calibri"/>
                <w:color w:val="000000"/>
              </w:rPr>
            </w:pPr>
            <w:r w:rsidRPr="009E1830">
              <w:rPr>
                <w:rFonts w:ascii="Times New Roman" w:eastAsia="Times New Roman" w:hAnsi="Times New Roman" w:cs="Times New Roman"/>
                <w:color w:val="F1C232"/>
                <w:sz w:val="24"/>
              </w:rPr>
              <w:t>6</w:t>
            </w:r>
          </w:p>
        </w:tc>
        <w:tc>
          <w:tcPr>
            <w:tcW w:w="3760" w:type="dxa"/>
            <w:tcBorders>
              <w:top w:val="single" w:sz="8" w:space="0" w:color="000000"/>
              <w:left w:val="single" w:sz="8" w:space="0" w:color="000000"/>
              <w:bottom w:val="single" w:sz="8" w:space="0" w:color="000000"/>
              <w:right w:val="single" w:sz="8" w:space="0" w:color="000000"/>
            </w:tcBorders>
            <w:vAlign w:val="center"/>
          </w:tcPr>
          <w:p w14:paraId="4DE9A649" w14:textId="77777777" w:rsidR="00661E65" w:rsidRPr="009E1830" w:rsidRDefault="00661E65" w:rsidP="00352F57">
            <w:pPr>
              <w:ind w:right="10"/>
              <w:jc w:val="center"/>
              <w:rPr>
                <w:rFonts w:ascii="Calibri" w:eastAsia="Calibri" w:hAnsi="Calibri" w:cs="Calibri"/>
                <w:color w:val="000000"/>
              </w:rPr>
            </w:pPr>
            <w:r w:rsidRPr="009E1830">
              <w:rPr>
                <w:rFonts w:ascii="Times New Roman" w:eastAsia="Times New Roman" w:hAnsi="Times New Roman" w:cs="Times New Roman"/>
                <w:color w:val="6AA84F"/>
                <w:sz w:val="24"/>
              </w:rPr>
              <w:t>8</w:t>
            </w:r>
          </w:p>
        </w:tc>
      </w:tr>
      <w:tr w:rsidR="00661E65" w:rsidRPr="009E1830" w14:paraId="54712A94" w14:textId="77777777" w:rsidTr="00352F57">
        <w:trPr>
          <w:trHeight w:val="500"/>
        </w:trPr>
        <w:tc>
          <w:tcPr>
            <w:tcW w:w="2060" w:type="dxa"/>
            <w:tcBorders>
              <w:top w:val="single" w:sz="8" w:space="0" w:color="000000"/>
              <w:left w:val="single" w:sz="8" w:space="0" w:color="000000"/>
              <w:bottom w:val="single" w:sz="8" w:space="0" w:color="000000"/>
              <w:right w:val="single" w:sz="8" w:space="0" w:color="000000"/>
            </w:tcBorders>
            <w:vAlign w:val="center"/>
          </w:tcPr>
          <w:p w14:paraId="037F7349" w14:textId="77777777" w:rsidR="00661E65" w:rsidRPr="009E1830" w:rsidRDefault="00661E65" w:rsidP="00352F57">
            <w:pPr>
              <w:ind w:right="10"/>
              <w:jc w:val="center"/>
              <w:rPr>
                <w:rFonts w:ascii="Calibri" w:eastAsia="Calibri" w:hAnsi="Calibri" w:cs="Calibri"/>
                <w:color w:val="000000"/>
              </w:rPr>
            </w:pPr>
            <w:r w:rsidRPr="009E1830">
              <w:rPr>
                <w:rFonts w:ascii="Times New Roman" w:eastAsia="Times New Roman" w:hAnsi="Times New Roman" w:cs="Times New Roman"/>
                <w:color w:val="000000"/>
                <w:sz w:val="24"/>
              </w:rPr>
              <w:t>ET</w:t>
            </w:r>
          </w:p>
        </w:tc>
        <w:tc>
          <w:tcPr>
            <w:tcW w:w="3480" w:type="dxa"/>
            <w:tcBorders>
              <w:top w:val="single" w:sz="8" w:space="0" w:color="000000"/>
              <w:left w:val="single" w:sz="8" w:space="0" w:color="000000"/>
              <w:bottom w:val="single" w:sz="8" w:space="0" w:color="000000"/>
              <w:right w:val="single" w:sz="8" w:space="0" w:color="000000"/>
            </w:tcBorders>
            <w:vAlign w:val="center"/>
          </w:tcPr>
          <w:p w14:paraId="4B765A36" w14:textId="77777777" w:rsidR="00661E65" w:rsidRPr="009E1830" w:rsidRDefault="00661E65" w:rsidP="00352F57">
            <w:pPr>
              <w:jc w:val="center"/>
              <w:rPr>
                <w:rFonts w:ascii="Calibri" w:eastAsia="Calibri" w:hAnsi="Calibri" w:cs="Calibri"/>
                <w:color w:val="000000"/>
              </w:rPr>
            </w:pPr>
            <w:r w:rsidRPr="009E1830">
              <w:rPr>
                <w:rFonts w:ascii="Times New Roman" w:eastAsia="Times New Roman" w:hAnsi="Times New Roman" w:cs="Times New Roman"/>
                <w:color w:val="F1C232"/>
                <w:sz w:val="24"/>
              </w:rPr>
              <w:t>8</w:t>
            </w:r>
          </w:p>
        </w:tc>
        <w:tc>
          <w:tcPr>
            <w:tcW w:w="3760" w:type="dxa"/>
            <w:tcBorders>
              <w:top w:val="single" w:sz="8" w:space="0" w:color="000000"/>
              <w:left w:val="single" w:sz="8" w:space="0" w:color="000000"/>
              <w:bottom w:val="single" w:sz="8" w:space="0" w:color="000000"/>
              <w:right w:val="single" w:sz="8" w:space="0" w:color="000000"/>
            </w:tcBorders>
            <w:vAlign w:val="center"/>
          </w:tcPr>
          <w:p w14:paraId="166FA748" w14:textId="77777777" w:rsidR="00661E65" w:rsidRPr="009E1830" w:rsidRDefault="00661E65" w:rsidP="00352F57">
            <w:pPr>
              <w:ind w:right="10"/>
              <w:jc w:val="center"/>
              <w:rPr>
                <w:rFonts w:ascii="Calibri" w:eastAsia="Calibri" w:hAnsi="Calibri" w:cs="Calibri"/>
                <w:color w:val="000000"/>
              </w:rPr>
            </w:pPr>
            <w:r w:rsidRPr="009E1830">
              <w:rPr>
                <w:rFonts w:ascii="Times New Roman" w:eastAsia="Times New Roman" w:hAnsi="Times New Roman" w:cs="Times New Roman"/>
                <w:color w:val="6AA84F"/>
                <w:sz w:val="24"/>
              </w:rPr>
              <w:t>10</w:t>
            </w:r>
          </w:p>
        </w:tc>
      </w:tr>
    </w:tbl>
    <w:p w14:paraId="147B5D2A" w14:textId="77777777" w:rsidR="00661E65" w:rsidRPr="009E1830" w:rsidRDefault="00661E65" w:rsidP="00661E65">
      <w:pPr>
        <w:spacing w:after="0"/>
        <w:rPr>
          <w:rFonts w:ascii="Calibri" w:eastAsia="Calibri" w:hAnsi="Calibri" w:cs="Calibri"/>
          <w:color w:val="000000"/>
        </w:rPr>
      </w:pPr>
      <w:r w:rsidRPr="009E1830">
        <w:rPr>
          <w:rFonts w:ascii="Times New Roman" w:eastAsia="Times New Roman" w:hAnsi="Times New Roman" w:cs="Times New Roman"/>
          <w:color w:val="FF0000"/>
          <w:sz w:val="24"/>
        </w:rPr>
        <w:t>**</w:t>
      </w:r>
      <w:r w:rsidRPr="009E1830">
        <w:rPr>
          <w:rFonts w:ascii="Times New Roman" w:eastAsia="Times New Roman" w:hAnsi="Times New Roman" w:cs="Times New Roman"/>
          <w:color w:val="000000"/>
          <w:sz w:val="24"/>
        </w:rPr>
        <w:t>Had another student’s device beside him with the answer key while testing.</w:t>
      </w:r>
    </w:p>
    <w:p w14:paraId="5BB1CF3A" w14:textId="77777777" w:rsidR="00661E65" w:rsidRDefault="00661E65" w:rsidP="00661E65">
      <w:pPr>
        <w:rPr>
          <w:rFonts w:ascii="Times New Roman" w:hAnsi="Times New Roman" w:cs="Times New Roman"/>
          <w:sz w:val="24"/>
          <w:szCs w:val="24"/>
        </w:rPr>
      </w:pPr>
    </w:p>
    <w:p w14:paraId="4F67BC09" w14:textId="77777777" w:rsidR="00661E65" w:rsidRPr="00BD4BFB" w:rsidRDefault="00661E65" w:rsidP="00661E65">
      <w:pPr>
        <w:rPr>
          <w:rFonts w:ascii="Times New Roman" w:hAnsi="Times New Roman" w:cs="Times New Roman"/>
          <w:sz w:val="24"/>
          <w:szCs w:val="24"/>
        </w:rPr>
      </w:pPr>
      <w:r>
        <w:rPr>
          <w:rFonts w:ascii="Times New Roman" w:hAnsi="Times New Roman" w:cs="Times New Roman"/>
          <w:sz w:val="24"/>
          <w:szCs w:val="24"/>
        </w:rPr>
        <w:t xml:space="preserve">The analysis of pre/post data reveals a significant improvement in student performance with only three P12 student failing to show improvement when post assessment data was collected. </w:t>
      </w:r>
    </w:p>
    <w:p w14:paraId="59A5888C" w14:textId="77777777" w:rsidR="00661E65" w:rsidRDefault="00661E65" w:rsidP="00661E65">
      <w:pPr>
        <w:rPr>
          <w:rFonts w:ascii="Times New Roman" w:hAnsi="Times New Roman" w:cs="Times New Roman"/>
          <w:sz w:val="24"/>
          <w:szCs w:val="24"/>
        </w:rPr>
      </w:pPr>
    </w:p>
    <w:p w14:paraId="3E74568D" w14:textId="4C74387A" w:rsidR="00661E65" w:rsidRDefault="00661E65" w:rsidP="00661E65">
      <w:pPr>
        <w:rPr>
          <w:rFonts w:ascii="Times New Roman" w:hAnsi="Times New Roman" w:cs="Times New Roman"/>
          <w:i/>
          <w:iCs/>
          <w:sz w:val="24"/>
          <w:szCs w:val="24"/>
        </w:rPr>
      </w:pPr>
      <w:r w:rsidRPr="0052687C">
        <w:rPr>
          <w:rFonts w:ascii="Times New Roman" w:hAnsi="Times New Roman" w:cs="Times New Roman"/>
          <w:i/>
          <w:iCs/>
          <w:sz w:val="24"/>
          <w:szCs w:val="24"/>
        </w:rPr>
        <w:t>Completer Impact on P-12 Learning</w:t>
      </w:r>
      <w:r w:rsidR="002779B9">
        <w:rPr>
          <w:rFonts w:ascii="Times New Roman" w:hAnsi="Times New Roman" w:cs="Times New Roman"/>
          <w:i/>
          <w:iCs/>
          <w:sz w:val="24"/>
          <w:szCs w:val="24"/>
        </w:rPr>
        <w:t>—P-12 Student Feedback</w:t>
      </w:r>
    </w:p>
    <w:p w14:paraId="10292416" w14:textId="77777777" w:rsidR="00661E65" w:rsidRPr="00EF7F0A" w:rsidRDefault="00661E65" w:rsidP="00661E65">
      <w:pPr>
        <w:rPr>
          <w:rFonts w:ascii="Times New Roman" w:hAnsi="Times New Roman" w:cs="Times New Roman"/>
          <w:sz w:val="24"/>
          <w:szCs w:val="24"/>
        </w:rPr>
      </w:pPr>
      <w:r w:rsidRPr="00EF7F0A">
        <w:rPr>
          <w:rFonts w:ascii="Times New Roman" w:hAnsi="Times New Roman" w:cs="Times New Roman"/>
          <w:sz w:val="24"/>
          <w:szCs w:val="24"/>
        </w:rPr>
        <w:t>Due to the lack of P-12 student data available to the EPP, as well as a lack of supervisor data for our completers, we opted to use the Panorama Survey with our AAC participants to obtain data related to impact on student learning. Panorama Student Survey is a set of survey scales, or groups of questions, that measure student perceptions of teaching and learning, as well as perceptions of school climate and their own strengths and weaknesses. Each scale has a substantial and growing body of evidence of its validity across specific contexts and uses. The EPP believes that students have an essential role to play in informing teaching effectiveness: this feedback instrument provides teachers and principals with valuable data about how students see their classes and how to facilitate improvement thus underscoring our decision to make use of the survey as a part of our data collection process.</w:t>
      </w:r>
    </w:p>
    <w:p w14:paraId="155A10B3" w14:textId="77777777" w:rsidR="00661E65" w:rsidRPr="00EF7F0A" w:rsidRDefault="00661E65" w:rsidP="00661E65">
      <w:pPr>
        <w:rPr>
          <w:rFonts w:ascii="Times New Roman" w:hAnsi="Times New Roman" w:cs="Times New Roman"/>
          <w:sz w:val="24"/>
          <w:szCs w:val="24"/>
        </w:rPr>
      </w:pPr>
      <w:r w:rsidRPr="00EF7F0A">
        <w:rPr>
          <w:rFonts w:ascii="Times New Roman" w:hAnsi="Times New Roman" w:cs="Times New Roman"/>
          <w:sz w:val="24"/>
          <w:szCs w:val="24"/>
        </w:rPr>
        <w:t>The AAC action research participant administered the survey to the students enrolled in his classes with a participation rate of n=90 (with a few questions not being answered by all participants). The responses below are a representative sampling of survey items which we felt were most representative of the completer’s impact upon P-12 learning:</w:t>
      </w:r>
    </w:p>
    <w:p w14:paraId="3B3F590D" w14:textId="77777777" w:rsidR="00661E65" w:rsidRPr="0052687C" w:rsidRDefault="00661E65" w:rsidP="00661E65">
      <w:pPr>
        <w:rPr>
          <w:rFonts w:ascii="Times New Roman" w:hAnsi="Times New Roman" w:cs="Times New Roman"/>
          <w:sz w:val="24"/>
          <w:szCs w:val="24"/>
        </w:rPr>
      </w:pPr>
      <w:r>
        <w:rPr>
          <w:noProof/>
        </w:rPr>
        <w:lastRenderedPageBreak/>
        <w:drawing>
          <wp:inline distT="0" distB="0" distL="0" distR="0" wp14:anchorId="100C88AF" wp14:editId="4BE45D54">
            <wp:extent cx="5943600" cy="2500859"/>
            <wp:effectExtent l="0" t="0" r="0" b="0"/>
            <wp:docPr id="10" name="Picture 10"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 pie char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2500859"/>
                    </a:xfrm>
                    <a:prstGeom prst="rect">
                      <a:avLst/>
                    </a:prstGeom>
                    <a:noFill/>
                    <a:ln>
                      <a:noFill/>
                    </a:ln>
                  </pic:spPr>
                </pic:pic>
              </a:graphicData>
            </a:graphic>
          </wp:inline>
        </w:drawing>
      </w:r>
    </w:p>
    <w:p w14:paraId="08482024" w14:textId="77777777" w:rsidR="00661E65" w:rsidRDefault="00661E65" w:rsidP="00661E65">
      <w:pPr>
        <w:rPr>
          <w:rFonts w:ascii="Times New Roman" w:hAnsi="Times New Roman" w:cs="Times New Roman"/>
          <w:sz w:val="24"/>
          <w:szCs w:val="24"/>
        </w:rPr>
      </w:pPr>
    </w:p>
    <w:p w14:paraId="5205C571" w14:textId="77777777" w:rsidR="00661E65" w:rsidRDefault="00661E65" w:rsidP="00661E65">
      <w:pPr>
        <w:rPr>
          <w:rFonts w:ascii="Times New Roman" w:hAnsi="Times New Roman" w:cs="Times New Roman"/>
          <w:sz w:val="24"/>
          <w:szCs w:val="24"/>
        </w:rPr>
      </w:pPr>
      <w:r>
        <w:rPr>
          <w:noProof/>
        </w:rPr>
        <w:drawing>
          <wp:inline distT="0" distB="0" distL="0" distR="0" wp14:anchorId="12DD471B" wp14:editId="4DFDA209">
            <wp:extent cx="5943600" cy="2500859"/>
            <wp:effectExtent l="0" t="0" r="0" b="0"/>
            <wp:docPr id="11" name="Picture 11"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 pie char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2500859"/>
                    </a:xfrm>
                    <a:prstGeom prst="rect">
                      <a:avLst/>
                    </a:prstGeom>
                    <a:noFill/>
                    <a:ln>
                      <a:noFill/>
                    </a:ln>
                  </pic:spPr>
                </pic:pic>
              </a:graphicData>
            </a:graphic>
          </wp:inline>
        </w:drawing>
      </w:r>
    </w:p>
    <w:p w14:paraId="42745B04" w14:textId="77777777" w:rsidR="00661E65" w:rsidRDefault="00661E65" w:rsidP="00661E65">
      <w:pPr>
        <w:rPr>
          <w:rFonts w:ascii="Times New Roman" w:hAnsi="Times New Roman" w:cs="Times New Roman"/>
          <w:sz w:val="24"/>
          <w:szCs w:val="24"/>
        </w:rPr>
      </w:pPr>
      <w:r>
        <w:rPr>
          <w:noProof/>
        </w:rPr>
        <w:drawing>
          <wp:inline distT="0" distB="0" distL="0" distR="0" wp14:anchorId="163E1B33" wp14:editId="67A62487">
            <wp:extent cx="5943600" cy="2695731"/>
            <wp:effectExtent l="0" t="0" r="0" b="9525"/>
            <wp:docPr id="13" name="Picture 13"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hart, pie char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2695731"/>
                    </a:xfrm>
                    <a:prstGeom prst="rect">
                      <a:avLst/>
                    </a:prstGeom>
                    <a:noFill/>
                    <a:ln>
                      <a:noFill/>
                    </a:ln>
                  </pic:spPr>
                </pic:pic>
              </a:graphicData>
            </a:graphic>
          </wp:inline>
        </w:drawing>
      </w:r>
    </w:p>
    <w:p w14:paraId="04D46F90" w14:textId="77777777" w:rsidR="00661E65" w:rsidRDefault="00661E65" w:rsidP="00661E65">
      <w:pPr>
        <w:rPr>
          <w:rFonts w:ascii="Times New Roman" w:hAnsi="Times New Roman" w:cs="Times New Roman"/>
          <w:sz w:val="24"/>
          <w:szCs w:val="24"/>
        </w:rPr>
      </w:pPr>
      <w:r>
        <w:rPr>
          <w:noProof/>
        </w:rPr>
        <w:lastRenderedPageBreak/>
        <w:drawing>
          <wp:inline distT="0" distB="0" distL="0" distR="0" wp14:anchorId="6BD4474D" wp14:editId="49C04344">
            <wp:extent cx="5943600" cy="2500859"/>
            <wp:effectExtent l="0" t="0" r="0" b="0"/>
            <wp:docPr id="14" name="Picture 14"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hart, pie ch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500859"/>
                    </a:xfrm>
                    <a:prstGeom prst="rect">
                      <a:avLst/>
                    </a:prstGeom>
                    <a:noFill/>
                    <a:ln>
                      <a:noFill/>
                    </a:ln>
                  </pic:spPr>
                </pic:pic>
              </a:graphicData>
            </a:graphic>
          </wp:inline>
        </w:drawing>
      </w:r>
    </w:p>
    <w:p w14:paraId="64C8A93F" w14:textId="77777777" w:rsidR="00661E65" w:rsidRDefault="00661E65" w:rsidP="00661E65">
      <w:pPr>
        <w:rPr>
          <w:rFonts w:ascii="Times New Roman" w:hAnsi="Times New Roman" w:cs="Times New Roman"/>
          <w:sz w:val="24"/>
          <w:szCs w:val="24"/>
        </w:rPr>
      </w:pPr>
      <w:r>
        <w:rPr>
          <w:noProof/>
        </w:rPr>
        <w:drawing>
          <wp:inline distT="0" distB="0" distL="0" distR="0" wp14:anchorId="6FE16FED" wp14:editId="368FCA57">
            <wp:extent cx="5943600" cy="2500859"/>
            <wp:effectExtent l="0" t="0" r="0" b="0"/>
            <wp:docPr id="15" name="Picture 15"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hart, pie ch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500859"/>
                    </a:xfrm>
                    <a:prstGeom prst="rect">
                      <a:avLst/>
                    </a:prstGeom>
                    <a:noFill/>
                    <a:ln>
                      <a:noFill/>
                    </a:ln>
                  </pic:spPr>
                </pic:pic>
              </a:graphicData>
            </a:graphic>
          </wp:inline>
        </w:drawing>
      </w:r>
    </w:p>
    <w:p w14:paraId="0111D019" w14:textId="77777777" w:rsidR="00661E65" w:rsidRDefault="00661E65" w:rsidP="00661E65">
      <w:pPr>
        <w:rPr>
          <w:rFonts w:ascii="Times New Roman" w:hAnsi="Times New Roman" w:cs="Times New Roman"/>
          <w:sz w:val="24"/>
          <w:szCs w:val="24"/>
        </w:rPr>
      </w:pPr>
    </w:p>
    <w:p w14:paraId="23690C60" w14:textId="77777777" w:rsidR="00661E65" w:rsidRDefault="00661E65" w:rsidP="00661E65">
      <w:pPr>
        <w:rPr>
          <w:rFonts w:ascii="Times New Roman" w:hAnsi="Times New Roman" w:cs="Times New Roman"/>
          <w:sz w:val="24"/>
          <w:szCs w:val="24"/>
        </w:rPr>
      </w:pPr>
      <w:r>
        <w:rPr>
          <w:rFonts w:ascii="Times New Roman" w:hAnsi="Times New Roman" w:cs="Times New Roman"/>
          <w:sz w:val="24"/>
          <w:szCs w:val="24"/>
        </w:rPr>
        <w:t xml:space="preserve">The Panorama Survey results were shared with completer and discussions occurred about the data how it could be used to positively impact future engagements with students. The information was also distributed to faculty to aid them in viewing how our completer(s) are impacting the landscape of P-12 learning. </w:t>
      </w:r>
    </w:p>
    <w:p w14:paraId="7B438A57" w14:textId="691F33AC" w:rsidR="00661E65" w:rsidRDefault="00661E65" w:rsidP="00373FAD">
      <w:pPr>
        <w:rPr>
          <w:rFonts w:ascii="Times New Roman" w:hAnsi="Times New Roman" w:cs="Times New Roman"/>
          <w:sz w:val="24"/>
          <w:szCs w:val="24"/>
        </w:rPr>
      </w:pPr>
    </w:p>
    <w:p w14:paraId="6D0E484A" w14:textId="45522D2B" w:rsidR="00661E65" w:rsidRDefault="00661E65" w:rsidP="00373FAD">
      <w:pPr>
        <w:rPr>
          <w:rFonts w:ascii="Times New Roman" w:hAnsi="Times New Roman" w:cs="Times New Roman"/>
          <w:sz w:val="24"/>
          <w:szCs w:val="24"/>
        </w:rPr>
      </w:pPr>
    </w:p>
    <w:p w14:paraId="7C9BA1FC" w14:textId="79A238CE" w:rsidR="00661E65" w:rsidRDefault="00661E65" w:rsidP="00373FAD">
      <w:pPr>
        <w:rPr>
          <w:rFonts w:ascii="Times New Roman" w:hAnsi="Times New Roman" w:cs="Times New Roman"/>
          <w:sz w:val="24"/>
          <w:szCs w:val="24"/>
        </w:rPr>
      </w:pPr>
    </w:p>
    <w:p w14:paraId="5F6A2534" w14:textId="06222B2A" w:rsidR="00661E65" w:rsidRDefault="00661E65" w:rsidP="00373FAD">
      <w:pPr>
        <w:rPr>
          <w:rFonts w:ascii="Times New Roman" w:hAnsi="Times New Roman" w:cs="Times New Roman"/>
          <w:sz w:val="24"/>
          <w:szCs w:val="24"/>
        </w:rPr>
      </w:pPr>
    </w:p>
    <w:p w14:paraId="67DE939E" w14:textId="60D1F86D" w:rsidR="00661E65" w:rsidRDefault="00661E65" w:rsidP="00373FAD">
      <w:pPr>
        <w:rPr>
          <w:rFonts w:ascii="Times New Roman" w:hAnsi="Times New Roman" w:cs="Times New Roman"/>
          <w:sz w:val="24"/>
          <w:szCs w:val="24"/>
        </w:rPr>
      </w:pPr>
    </w:p>
    <w:p w14:paraId="72345A3E" w14:textId="77777777" w:rsidR="00661E65" w:rsidRPr="00661E65" w:rsidRDefault="00661E65" w:rsidP="00373FAD">
      <w:pPr>
        <w:rPr>
          <w:rFonts w:ascii="Times New Roman" w:hAnsi="Times New Roman" w:cs="Times New Roman"/>
          <w:sz w:val="24"/>
          <w:szCs w:val="24"/>
        </w:rPr>
      </w:pPr>
    </w:p>
    <w:p w14:paraId="631F695F" w14:textId="521FE1D8" w:rsidR="00124C5E" w:rsidRDefault="00124C5E" w:rsidP="00373FAD">
      <w:pPr>
        <w:rPr>
          <w:rFonts w:ascii="Times New Roman" w:hAnsi="Times New Roman" w:cs="Times New Roman"/>
          <w:b/>
          <w:bCs/>
          <w:sz w:val="24"/>
          <w:szCs w:val="24"/>
        </w:rPr>
      </w:pPr>
      <w:r w:rsidRPr="00124C5E">
        <w:rPr>
          <w:rFonts w:ascii="Times New Roman" w:hAnsi="Times New Roman" w:cs="Times New Roman"/>
          <w:b/>
          <w:bCs/>
          <w:sz w:val="24"/>
          <w:szCs w:val="24"/>
        </w:rPr>
        <w:lastRenderedPageBreak/>
        <w:t>Completer Effectiveness in applying professional knowledge, skills, and dispositions</w:t>
      </w:r>
      <w:r w:rsidR="00D74353">
        <w:rPr>
          <w:rFonts w:ascii="Times New Roman" w:hAnsi="Times New Roman" w:cs="Times New Roman"/>
          <w:b/>
          <w:bCs/>
          <w:sz w:val="24"/>
          <w:szCs w:val="24"/>
        </w:rPr>
        <w:t xml:space="preserve"> (EPP created Alumni Survey)</w:t>
      </w:r>
      <w:r w:rsidRPr="00124C5E">
        <w:rPr>
          <w:rFonts w:ascii="Times New Roman" w:hAnsi="Times New Roman" w:cs="Times New Roman"/>
          <w:b/>
          <w:bCs/>
          <w:sz w:val="24"/>
          <w:szCs w:val="24"/>
        </w:rPr>
        <w:t>.</w:t>
      </w:r>
    </w:p>
    <w:p w14:paraId="21CE3480" w14:textId="7EC0C692" w:rsidR="00CE0CCB" w:rsidRDefault="00CE0CCB" w:rsidP="00373FAD">
      <w:pPr>
        <w:rPr>
          <w:rFonts w:ascii="Times New Roman" w:hAnsi="Times New Roman" w:cs="Times New Roman"/>
          <w:b/>
          <w:bCs/>
          <w:sz w:val="24"/>
          <w:szCs w:val="24"/>
        </w:rPr>
      </w:pPr>
    </w:p>
    <w:p w14:paraId="3712DF70" w14:textId="07FAF238" w:rsidR="00CE0CCB" w:rsidRPr="00CE0CCB" w:rsidRDefault="00CE0CCB" w:rsidP="00CE0CCB">
      <w:pPr>
        <w:rPr>
          <w:rFonts w:ascii="Times New Roman" w:hAnsi="Times New Roman" w:cs="Times New Roman"/>
          <w:sz w:val="24"/>
          <w:szCs w:val="24"/>
        </w:rPr>
      </w:pPr>
      <w:r w:rsidRPr="00CE0CCB">
        <w:rPr>
          <w:rFonts w:ascii="Times New Roman" w:hAnsi="Times New Roman" w:cs="Times New Roman"/>
          <w:sz w:val="24"/>
          <w:szCs w:val="24"/>
        </w:rPr>
        <w:t>Alumni indicate</w:t>
      </w:r>
      <w:r>
        <w:rPr>
          <w:rFonts w:ascii="Times New Roman" w:hAnsi="Times New Roman" w:cs="Times New Roman"/>
          <w:sz w:val="24"/>
          <w:szCs w:val="24"/>
        </w:rPr>
        <w:t xml:space="preserve"> varying levels </w:t>
      </w:r>
      <w:r w:rsidR="00FA5A9B">
        <w:rPr>
          <w:rFonts w:ascii="Times New Roman" w:hAnsi="Times New Roman" w:cs="Times New Roman"/>
          <w:sz w:val="24"/>
          <w:szCs w:val="24"/>
        </w:rPr>
        <w:t xml:space="preserve">of </w:t>
      </w:r>
      <w:r w:rsidR="00FA5A9B" w:rsidRPr="00CE0CCB">
        <w:rPr>
          <w:rFonts w:ascii="Times New Roman" w:hAnsi="Times New Roman" w:cs="Times New Roman"/>
          <w:sz w:val="24"/>
          <w:szCs w:val="24"/>
        </w:rPr>
        <w:t>agreement</w:t>
      </w:r>
      <w:r w:rsidRPr="00CE0CCB">
        <w:rPr>
          <w:rFonts w:ascii="Times New Roman" w:hAnsi="Times New Roman" w:cs="Times New Roman"/>
          <w:sz w:val="24"/>
          <w:szCs w:val="24"/>
        </w:rPr>
        <w:t xml:space="preserve"> in their preparation to create/implement engaging lessons which strongly impacts student learning and development. The charts below denote completer responses to several items which serve to impact student learning:</w:t>
      </w:r>
    </w:p>
    <w:p w14:paraId="448ED875" w14:textId="77777777" w:rsidR="00CE0CCB" w:rsidRPr="00124C5E" w:rsidRDefault="00CE0CCB" w:rsidP="00373FAD">
      <w:pPr>
        <w:rPr>
          <w:rFonts w:ascii="Times New Roman" w:hAnsi="Times New Roman" w:cs="Times New Roman"/>
          <w:b/>
          <w:bCs/>
          <w:sz w:val="24"/>
          <w:szCs w:val="24"/>
        </w:rPr>
      </w:pPr>
    </w:p>
    <w:p w14:paraId="64C0BEAE" w14:textId="3142DBB4" w:rsidR="00DF3DF9" w:rsidRPr="001E2B5D" w:rsidRDefault="003210A6" w:rsidP="00373FAD">
      <w:pPr>
        <w:rPr>
          <w:rFonts w:ascii="Times New Roman" w:hAnsi="Times New Roman" w:cs="Times New Roman"/>
          <w:sz w:val="24"/>
          <w:szCs w:val="24"/>
          <w:highlight w:val="yellow"/>
        </w:rPr>
      </w:pPr>
      <w:r>
        <w:rPr>
          <w:noProof/>
          <w:highlight w:val="yellow"/>
        </w:rPr>
        <w:drawing>
          <wp:inline distT="0" distB="0" distL="0" distR="0" wp14:anchorId="6CF35078" wp14:editId="328B9901">
            <wp:extent cx="5943600" cy="2695731"/>
            <wp:effectExtent l="0" t="0" r="0" b="9525"/>
            <wp:docPr id="2" name="Picture 2" descr="Chart, pie 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pie chart, bubble ch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695731"/>
                    </a:xfrm>
                    <a:prstGeom prst="rect">
                      <a:avLst/>
                    </a:prstGeom>
                    <a:noFill/>
                    <a:ln>
                      <a:noFill/>
                    </a:ln>
                  </pic:spPr>
                </pic:pic>
              </a:graphicData>
            </a:graphic>
          </wp:inline>
        </w:drawing>
      </w:r>
    </w:p>
    <w:p w14:paraId="4BE19E31" w14:textId="41174242" w:rsidR="00DF3DF9" w:rsidRPr="001E2B5D" w:rsidRDefault="00DF3DF9" w:rsidP="00373FAD">
      <w:pPr>
        <w:rPr>
          <w:rFonts w:ascii="Times New Roman" w:hAnsi="Times New Roman" w:cs="Times New Roman"/>
          <w:sz w:val="24"/>
          <w:szCs w:val="24"/>
          <w:highlight w:val="yellow"/>
        </w:rPr>
      </w:pPr>
    </w:p>
    <w:p w14:paraId="48CD0666" w14:textId="68BACCF3" w:rsidR="00DF3DF9" w:rsidRPr="001E2B5D" w:rsidRDefault="003210A6" w:rsidP="00373FAD">
      <w:pPr>
        <w:rPr>
          <w:rFonts w:ascii="Times New Roman" w:hAnsi="Times New Roman" w:cs="Times New Roman"/>
          <w:sz w:val="24"/>
          <w:szCs w:val="24"/>
          <w:highlight w:val="yellow"/>
        </w:rPr>
      </w:pPr>
      <w:r>
        <w:rPr>
          <w:noProof/>
          <w:highlight w:val="yellow"/>
        </w:rPr>
        <w:drawing>
          <wp:inline distT="0" distB="0" distL="0" distR="0" wp14:anchorId="61557625" wp14:editId="43D0CF46">
            <wp:extent cx="5943600" cy="2695731"/>
            <wp:effectExtent l="0" t="0" r="0" b="9525"/>
            <wp:docPr id="3" name="Picture 3" descr="Chart, pie 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pie chart, bubble ch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695731"/>
                    </a:xfrm>
                    <a:prstGeom prst="rect">
                      <a:avLst/>
                    </a:prstGeom>
                    <a:noFill/>
                    <a:ln>
                      <a:noFill/>
                    </a:ln>
                  </pic:spPr>
                </pic:pic>
              </a:graphicData>
            </a:graphic>
          </wp:inline>
        </w:drawing>
      </w:r>
    </w:p>
    <w:p w14:paraId="267EED1B" w14:textId="406FFDBF" w:rsidR="00DF3DF9" w:rsidRDefault="003210A6" w:rsidP="00373FAD">
      <w:pPr>
        <w:rPr>
          <w:rFonts w:ascii="Times New Roman" w:hAnsi="Times New Roman" w:cs="Times New Roman"/>
          <w:sz w:val="24"/>
          <w:szCs w:val="24"/>
          <w:highlight w:val="yellow"/>
        </w:rPr>
      </w:pPr>
      <w:r>
        <w:rPr>
          <w:noProof/>
          <w:highlight w:val="yellow"/>
        </w:rPr>
        <w:lastRenderedPageBreak/>
        <w:drawing>
          <wp:inline distT="0" distB="0" distL="0" distR="0" wp14:anchorId="51F4974D" wp14:editId="3722785B">
            <wp:extent cx="5943600" cy="2695731"/>
            <wp:effectExtent l="0" t="0" r="0" b="9525"/>
            <wp:docPr id="4" name="Picture 4" descr="Chart, pie 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pie chart, bubble ch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695731"/>
                    </a:xfrm>
                    <a:prstGeom prst="rect">
                      <a:avLst/>
                    </a:prstGeom>
                    <a:noFill/>
                    <a:ln>
                      <a:noFill/>
                    </a:ln>
                  </pic:spPr>
                </pic:pic>
              </a:graphicData>
            </a:graphic>
          </wp:inline>
        </w:drawing>
      </w:r>
    </w:p>
    <w:p w14:paraId="23665531" w14:textId="73D9F373" w:rsidR="003210A6" w:rsidRDefault="003210A6" w:rsidP="00373FAD">
      <w:pPr>
        <w:rPr>
          <w:rFonts w:ascii="Times New Roman" w:hAnsi="Times New Roman" w:cs="Times New Roman"/>
          <w:sz w:val="24"/>
          <w:szCs w:val="24"/>
          <w:highlight w:val="yellow"/>
        </w:rPr>
      </w:pPr>
    </w:p>
    <w:p w14:paraId="269FBB99" w14:textId="04EEA8F5" w:rsidR="00DF3DF9" w:rsidRPr="001E2B5D" w:rsidRDefault="00DF3DF9" w:rsidP="00373FAD">
      <w:pPr>
        <w:rPr>
          <w:rFonts w:ascii="Times New Roman" w:hAnsi="Times New Roman" w:cs="Times New Roman"/>
          <w:sz w:val="24"/>
          <w:szCs w:val="24"/>
          <w:highlight w:val="yellow"/>
        </w:rPr>
      </w:pPr>
    </w:p>
    <w:p w14:paraId="6A94A260" w14:textId="486A9DBA" w:rsidR="00DF3DF9" w:rsidRDefault="00CE0CCB" w:rsidP="00373FAD">
      <w:pPr>
        <w:rPr>
          <w:rFonts w:ascii="Times New Roman" w:hAnsi="Times New Roman" w:cs="Times New Roman"/>
          <w:sz w:val="24"/>
          <w:szCs w:val="24"/>
        </w:rPr>
      </w:pPr>
      <w:r>
        <w:rPr>
          <w:noProof/>
        </w:rPr>
        <w:drawing>
          <wp:inline distT="0" distB="0" distL="0" distR="0" wp14:anchorId="318B953A" wp14:editId="45F44E3F">
            <wp:extent cx="5943600" cy="2695731"/>
            <wp:effectExtent l="0" t="0" r="0" b="9525"/>
            <wp:docPr id="9" name="Picture 9"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pie char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2695731"/>
                    </a:xfrm>
                    <a:prstGeom prst="rect">
                      <a:avLst/>
                    </a:prstGeom>
                    <a:noFill/>
                    <a:ln>
                      <a:noFill/>
                    </a:ln>
                  </pic:spPr>
                </pic:pic>
              </a:graphicData>
            </a:graphic>
          </wp:inline>
        </w:drawing>
      </w:r>
    </w:p>
    <w:p w14:paraId="3D31D66A" w14:textId="2C27FFE0" w:rsidR="00CE0CCB" w:rsidRDefault="00CE0CCB" w:rsidP="00373FAD">
      <w:pPr>
        <w:rPr>
          <w:rFonts w:ascii="Times New Roman" w:hAnsi="Times New Roman" w:cs="Times New Roman"/>
          <w:sz w:val="24"/>
          <w:szCs w:val="24"/>
        </w:rPr>
      </w:pPr>
      <w:r>
        <w:rPr>
          <w:rFonts w:ascii="Times New Roman" w:hAnsi="Times New Roman" w:cs="Times New Roman"/>
          <w:sz w:val="24"/>
          <w:szCs w:val="24"/>
        </w:rPr>
        <w:t>The EPP is pleased with the responses for the above noted measures. However, the low response rate does not provide a</w:t>
      </w:r>
      <w:r w:rsidR="005B3457">
        <w:rPr>
          <w:rFonts w:ascii="Times New Roman" w:hAnsi="Times New Roman" w:cs="Times New Roman"/>
          <w:sz w:val="24"/>
          <w:szCs w:val="24"/>
        </w:rPr>
        <w:t xml:space="preserve"> sufficient level of data to support programmatic review/revision. Ongoing efforts to improve the return rate are being explored by way of collaboration with other local EPPs and the WVDE to ascertain best practices </w:t>
      </w:r>
      <w:proofErr w:type="gramStart"/>
      <w:r w:rsidR="005B3457">
        <w:rPr>
          <w:rFonts w:ascii="Times New Roman" w:hAnsi="Times New Roman" w:cs="Times New Roman"/>
          <w:sz w:val="24"/>
          <w:szCs w:val="24"/>
        </w:rPr>
        <w:t>in regard to</w:t>
      </w:r>
      <w:proofErr w:type="gramEnd"/>
      <w:r w:rsidR="005B3457">
        <w:rPr>
          <w:rFonts w:ascii="Times New Roman" w:hAnsi="Times New Roman" w:cs="Times New Roman"/>
          <w:sz w:val="24"/>
          <w:szCs w:val="24"/>
        </w:rPr>
        <w:t xml:space="preserve"> completer participation. </w:t>
      </w:r>
    </w:p>
    <w:p w14:paraId="158FF724" w14:textId="4F08CD7C" w:rsidR="00D74353" w:rsidRDefault="00D74353" w:rsidP="00373FAD">
      <w:pPr>
        <w:rPr>
          <w:rFonts w:ascii="Times New Roman" w:hAnsi="Times New Roman" w:cs="Times New Roman"/>
          <w:sz w:val="24"/>
          <w:szCs w:val="24"/>
        </w:rPr>
      </w:pPr>
    </w:p>
    <w:p w14:paraId="3239F9BA" w14:textId="77777777" w:rsidR="00BD4BFB" w:rsidRDefault="00BD4BFB" w:rsidP="00373FAD">
      <w:pPr>
        <w:rPr>
          <w:rFonts w:ascii="Times New Roman" w:hAnsi="Times New Roman" w:cs="Times New Roman"/>
          <w:b/>
          <w:bCs/>
          <w:sz w:val="24"/>
          <w:szCs w:val="24"/>
        </w:rPr>
      </w:pPr>
    </w:p>
    <w:p w14:paraId="03B2321E" w14:textId="77777777" w:rsidR="00BD4BFB" w:rsidRDefault="00BD4BFB" w:rsidP="00373FAD">
      <w:pPr>
        <w:rPr>
          <w:rFonts w:ascii="Times New Roman" w:hAnsi="Times New Roman" w:cs="Times New Roman"/>
          <w:b/>
          <w:bCs/>
          <w:sz w:val="24"/>
          <w:szCs w:val="24"/>
        </w:rPr>
      </w:pPr>
    </w:p>
    <w:p w14:paraId="44290310" w14:textId="77777777" w:rsidR="00BD4BFB" w:rsidRDefault="00BD4BFB" w:rsidP="00373FAD">
      <w:pPr>
        <w:rPr>
          <w:rFonts w:ascii="Times New Roman" w:hAnsi="Times New Roman" w:cs="Times New Roman"/>
          <w:b/>
          <w:bCs/>
          <w:sz w:val="24"/>
          <w:szCs w:val="24"/>
        </w:rPr>
      </w:pPr>
    </w:p>
    <w:p w14:paraId="7E73A8EE" w14:textId="3624A8C6" w:rsidR="000C0043" w:rsidRPr="000C0043" w:rsidRDefault="000C0043" w:rsidP="00373FAD">
      <w:pPr>
        <w:rPr>
          <w:rFonts w:ascii="Times New Roman" w:hAnsi="Times New Roman" w:cs="Times New Roman"/>
          <w:b/>
          <w:bCs/>
          <w:sz w:val="24"/>
          <w:szCs w:val="24"/>
        </w:rPr>
      </w:pPr>
    </w:p>
    <w:p w14:paraId="376B8694" w14:textId="0301FC53" w:rsidR="000C0043" w:rsidRPr="000C0043" w:rsidRDefault="000C0043" w:rsidP="00373FAD">
      <w:pPr>
        <w:rPr>
          <w:rFonts w:ascii="Times New Roman" w:hAnsi="Times New Roman" w:cs="Times New Roman"/>
          <w:b/>
          <w:bCs/>
          <w:sz w:val="24"/>
          <w:szCs w:val="24"/>
        </w:rPr>
      </w:pPr>
      <w:r w:rsidRPr="000C0043">
        <w:rPr>
          <w:rFonts w:ascii="Times New Roman" w:hAnsi="Times New Roman" w:cs="Times New Roman"/>
          <w:b/>
          <w:bCs/>
          <w:sz w:val="24"/>
          <w:szCs w:val="24"/>
        </w:rPr>
        <w:t>Concluding Notes Regarding Completer Data</w:t>
      </w:r>
    </w:p>
    <w:p w14:paraId="255558C8" w14:textId="0D35B5B2" w:rsidR="00124C5E" w:rsidRPr="00411E76" w:rsidRDefault="00124C5E" w:rsidP="00124C5E">
      <w:pPr>
        <w:rPr>
          <w:rFonts w:ascii="Times New Roman" w:hAnsi="Times New Roman" w:cs="Times New Roman"/>
          <w:sz w:val="24"/>
          <w:szCs w:val="24"/>
        </w:rPr>
      </w:pPr>
      <w:r w:rsidRPr="003D345B">
        <w:rPr>
          <w:rFonts w:ascii="Times New Roman" w:hAnsi="Times New Roman" w:cs="Times New Roman"/>
          <w:sz w:val="24"/>
          <w:szCs w:val="24"/>
        </w:rPr>
        <w:t xml:space="preserve">WVSU Education Department would be remiss if we did not acknowledge that the </w:t>
      </w:r>
      <w:r w:rsidR="000C0043">
        <w:rPr>
          <w:rFonts w:ascii="Times New Roman" w:hAnsi="Times New Roman" w:cs="Times New Roman"/>
          <w:sz w:val="24"/>
          <w:szCs w:val="24"/>
        </w:rPr>
        <w:t xml:space="preserve">failure of the WVDE and HEPC to collect Transition to Teaching (TTS) and accompanying employer data is very disheartening in that it serves to underscore the difficulty in obtaining such information from graduates. </w:t>
      </w:r>
      <w:r w:rsidR="0021446A">
        <w:rPr>
          <w:rFonts w:ascii="Times New Roman" w:hAnsi="Times New Roman" w:cs="Times New Roman"/>
          <w:sz w:val="24"/>
          <w:szCs w:val="24"/>
        </w:rPr>
        <w:t xml:space="preserve">The EPP is hopefully that the shift to </w:t>
      </w:r>
      <w:proofErr w:type="spellStart"/>
      <w:r w:rsidR="0021446A">
        <w:rPr>
          <w:rFonts w:ascii="Times New Roman" w:hAnsi="Times New Roman" w:cs="Times New Roman"/>
          <w:sz w:val="24"/>
          <w:szCs w:val="24"/>
        </w:rPr>
        <w:t>Skyfactor</w:t>
      </w:r>
      <w:proofErr w:type="spellEnd"/>
      <w:r w:rsidR="0021446A">
        <w:rPr>
          <w:rFonts w:ascii="Times New Roman" w:hAnsi="Times New Roman" w:cs="Times New Roman"/>
          <w:sz w:val="24"/>
          <w:szCs w:val="24"/>
        </w:rPr>
        <w:t xml:space="preserve"> for the collection of completer and employer data will prompt a greater return rate. Additionally, the EPP is working with the WVDE and other universities to explore options for expanding the level of participation for the initial level </w:t>
      </w:r>
      <w:proofErr w:type="spellStart"/>
      <w:r w:rsidR="0021446A">
        <w:rPr>
          <w:rFonts w:ascii="Times New Roman" w:hAnsi="Times New Roman" w:cs="Times New Roman"/>
          <w:sz w:val="24"/>
          <w:szCs w:val="24"/>
        </w:rPr>
        <w:t>Alunmi</w:t>
      </w:r>
      <w:proofErr w:type="spellEnd"/>
      <w:r w:rsidR="0021446A">
        <w:rPr>
          <w:rFonts w:ascii="Times New Roman" w:hAnsi="Times New Roman" w:cs="Times New Roman"/>
          <w:sz w:val="24"/>
          <w:szCs w:val="24"/>
        </w:rPr>
        <w:t xml:space="preserve"> Advisory Council initiative. </w:t>
      </w:r>
    </w:p>
    <w:p w14:paraId="7BB9E363" w14:textId="77777777" w:rsidR="00124C5E" w:rsidRDefault="00124C5E"/>
    <w:sectPr w:rsidR="00124C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FAD"/>
    <w:rsid w:val="000257B4"/>
    <w:rsid w:val="000C0043"/>
    <w:rsid w:val="00124C5E"/>
    <w:rsid w:val="001E2B5D"/>
    <w:rsid w:val="0021446A"/>
    <w:rsid w:val="002779B9"/>
    <w:rsid w:val="003210A6"/>
    <w:rsid w:val="00373FAD"/>
    <w:rsid w:val="003D345B"/>
    <w:rsid w:val="003F1EBF"/>
    <w:rsid w:val="00411E76"/>
    <w:rsid w:val="0051178C"/>
    <w:rsid w:val="0052687C"/>
    <w:rsid w:val="00567043"/>
    <w:rsid w:val="005B3457"/>
    <w:rsid w:val="005C3E6F"/>
    <w:rsid w:val="00603C0A"/>
    <w:rsid w:val="0065118E"/>
    <w:rsid w:val="00661E65"/>
    <w:rsid w:val="00745130"/>
    <w:rsid w:val="00785FDB"/>
    <w:rsid w:val="0084471C"/>
    <w:rsid w:val="00995747"/>
    <w:rsid w:val="009C5BEE"/>
    <w:rsid w:val="009E1830"/>
    <w:rsid w:val="00AF27EE"/>
    <w:rsid w:val="00BD01A0"/>
    <w:rsid w:val="00BD4BFB"/>
    <w:rsid w:val="00CA7464"/>
    <w:rsid w:val="00CE0CCB"/>
    <w:rsid w:val="00D20803"/>
    <w:rsid w:val="00D54307"/>
    <w:rsid w:val="00D74353"/>
    <w:rsid w:val="00DF3DF9"/>
    <w:rsid w:val="00EF7F0A"/>
    <w:rsid w:val="00FA5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301D0"/>
  <w15:chartTrackingRefBased/>
  <w15:docId w15:val="{3EF8802D-9875-47D8-B929-11CFA3D20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20803"/>
    <w:rPr>
      <w:sz w:val="16"/>
      <w:szCs w:val="16"/>
    </w:rPr>
  </w:style>
  <w:style w:type="paragraph" w:styleId="CommentText">
    <w:name w:val="annotation text"/>
    <w:basedOn w:val="Normal"/>
    <w:link w:val="CommentTextChar"/>
    <w:uiPriority w:val="99"/>
    <w:unhideWhenUsed/>
    <w:rsid w:val="00D20803"/>
    <w:pPr>
      <w:spacing w:line="240" w:lineRule="auto"/>
    </w:pPr>
    <w:rPr>
      <w:sz w:val="20"/>
      <w:szCs w:val="20"/>
    </w:rPr>
  </w:style>
  <w:style w:type="character" w:customStyle="1" w:styleId="CommentTextChar">
    <w:name w:val="Comment Text Char"/>
    <w:basedOn w:val="DefaultParagraphFont"/>
    <w:link w:val="CommentText"/>
    <w:uiPriority w:val="99"/>
    <w:rsid w:val="00D20803"/>
    <w:rPr>
      <w:sz w:val="20"/>
      <w:szCs w:val="20"/>
    </w:rPr>
  </w:style>
  <w:style w:type="paragraph" w:styleId="CommentSubject">
    <w:name w:val="annotation subject"/>
    <w:basedOn w:val="CommentText"/>
    <w:next w:val="CommentText"/>
    <w:link w:val="CommentSubjectChar"/>
    <w:uiPriority w:val="99"/>
    <w:semiHidden/>
    <w:unhideWhenUsed/>
    <w:rsid w:val="00D20803"/>
    <w:rPr>
      <w:b/>
      <w:bCs/>
    </w:rPr>
  </w:style>
  <w:style w:type="character" w:customStyle="1" w:styleId="CommentSubjectChar">
    <w:name w:val="Comment Subject Char"/>
    <w:basedOn w:val="CommentTextChar"/>
    <w:link w:val="CommentSubject"/>
    <w:uiPriority w:val="99"/>
    <w:semiHidden/>
    <w:rsid w:val="00D20803"/>
    <w:rPr>
      <w:b/>
      <w:bCs/>
      <w:sz w:val="20"/>
      <w:szCs w:val="20"/>
    </w:rPr>
  </w:style>
  <w:style w:type="table" w:customStyle="1" w:styleId="TableGrid">
    <w:name w:val="TableGrid"/>
    <w:rsid w:val="009E1830"/>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Burdette, Stephanie</dc:creator>
  <cp:keywords/>
  <dc:description/>
  <cp:lastModifiedBy>Burdette, Stephanie</cp:lastModifiedBy>
  <cp:revision>2</cp:revision>
  <dcterms:created xsi:type="dcterms:W3CDTF">2022-05-08T03:24:00Z</dcterms:created>
  <dcterms:modified xsi:type="dcterms:W3CDTF">2022-05-08T03:24:00Z</dcterms:modified>
</cp:coreProperties>
</file>