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478A" w14:textId="502198BA" w:rsidR="007C5FAA" w:rsidRPr="001F6EC3" w:rsidRDefault="004D57A2">
      <w:pPr>
        <w:spacing w:after="159" w:line="259" w:lineRule="auto"/>
        <w:ind w:left="51" w:right="3"/>
        <w:jc w:val="center"/>
        <w:rPr>
          <w:rFonts w:ascii="Times New Roman" w:hAnsi="Times New Roman" w:cs="Times New Roman"/>
          <w:b/>
          <w:bCs/>
          <w:sz w:val="24"/>
        </w:rPr>
      </w:pPr>
      <w:r w:rsidRPr="001F6EC3">
        <w:rPr>
          <w:rFonts w:ascii="Times New Roman" w:hAnsi="Times New Roman" w:cs="Times New Roman"/>
          <w:b/>
          <w:bCs/>
          <w:sz w:val="24"/>
        </w:rPr>
        <w:t xml:space="preserve">CAEP Annual Report </w:t>
      </w:r>
    </w:p>
    <w:p w14:paraId="625C58BD" w14:textId="77777777" w:rsidR="007C5FAA" w:rsidRPr="001F6EC3" w:rsidRDefault="004D57A2">
      <w:pPr>
        <w:spacing w:after="159" w:line="259" w:lineRule="auto"/>
        <w:ind w:left="51" w:right="1"/>
        <w:jc w:val="center"/>
        <w:rPr>
          <w:rFonts w:ascii="Times New Roman" w:hAnsi="Times New Roman" w:cs="Times New Roman"/>
          <w:b/>
          <w:bCs/>
          <w:sz w:val="24"/>
        </w:rPr>
      </w:pPr>
      <w:r w:rsidRPr="001F6EC3">
        <w:rPr>
          <w:rFonts w:ascii="Times New Roman" w:hAnsi="Times New Roman" w:cs="Times New Roman"/>
          <w:b/>
          <w:bCs/>
          <w:sz w:val="24"/>
        </w:rPr>
        <w:t xml:space="preserve">Advanced Measure 3 </w:t>
      </w:r>
    </w:p>
    <w:p w14:paraId="0BC5422D" w14:textId="77777777" w:rsidR="007C5FAA" w:rsidRPr="001F6EC3" w:rsidRDefault="004D57A2">
      <w:pPr>
        <w:spacing w:after="159" w:line="259" w:lineRule="auto"/>
        <w:ind w:left="51"/>
        <w:jc w:val="center"/>
        <w:rPr>
          <w:rFonts w:ascii="Times New Roman" w:hAnsi="Times New Roman" w:cs="Times New Roman"/>
          <w:b/>
          <w:bCs/>
          <w:sz w:val="24"/>
        </w:rPr>
      </w:pPr>
      <w:r w:rsidRPr="001F6EC3">
        <w:rPr>
          <w:rFonts w:ascii="Times New Roman" w:hAnsi="Times New Roman" w:cs="Times New Roman"/>
          <w:b/>
          <w:bCs/>
          <w:sz w:val="24"/>
        </w:rPr>
        <w:t xml:space="preserve">Candidate Competency at Completion </w:t>
      </w:r>
    </w:p>
    <w:p w14:paraId="4B959E76" w14:textId="77777777" w:rsidR="006615A3" w:rsidRPr="001F6EC3" w:rsidRDefault="006615A3" w:rsidP="006615A3">
      <w:pPr>
        <w:pStyle w:val="NormalWeb"/>
      </w:pPr>
      <w:r w:rsidRPr="001F6EC3">
        <w:t>The advanced program has implemented a systematic process for the ongoing evaluation of program outcomes in alignment with stated program goals. Candidate performance is analyzed at both the course and assessment levels by the MEIL Assessment Coordinator in collaboration with the MEIL Assessment Committee. Preliminary performance summaries were initially reviewed by the MEIL Alumni Advisory Group and the MEIL Advisory Council; these entities have since been unified into a single advisory body to enhance the coherence and efficiency of stakeholder feedback.</w:t>
      </w:r>
    </w:p>
    <w:p w14:paraId="63D50D89" w14:textId="7F753A00" w:rsidR="006615A3" w:rsidRPr="001F6EC3" w:rsidRDefault="006615A3" w:rsidP="006615A3">
      <w:pPr>
        <w:pStyle w:val="NormalWeb"/>
      </w:pPr>
      <w:r w:rsidRPr="001F6EC3">
        <w:t>Candidate performance remains robust across EPP-developed assessments, with consistently high pass rates on the Praxis examination providing additional evidence of candidate competency at the point of program completion.</w:t>
      </w:r>
    </w:p>
    <w:p w14:paraId="753AABF5" w14:textId="34999D93" w:rsidR="006615A3" w:rsidRPr="001F6EC3" w:rsidRDefault="006615A3" w:rsidP="006615A3">
      <w:pPr>
        <w:spacing w:after="0" w:line="259" w:lineRule="auto"/>
        <w:ind w:left="0" w:firstLine="0"/>
        <w:rPr>
          <w:rFonts w:ascii="Times New Roman" w:eastAsiaTheme="minorHAnsi" w:hAnsi="Times New Roman" w:cs="Times New Roman"/>
          <w:b/>
          <w:bCs/>
          <w:color w:val="auto"/>
          <w:kern w:val="0"/>
          <w:sz w:val="24"/>
          <w14:ligatures w14:val="none"/>
        </w:rPr>
      </w:pPr>
      <w:r w:rsidRPr="001F6EC3">
        <w:rPr>
          <w:rFonts w:ascii="Times New Roman" w:eastAsia="Times New Roman" w:hAnsi="Times New Roman" w:cs="Times New Roman"/>
          <w:b/>
          <w:bCs/>
          <w:color w:val="auto"/>
          <w:kern w:val="0"/>
          <w:sz w:val="24"/>
          <w14:ligatures w14:val="none"/>
        </w:rPr>
        <w:t>Summation of Praxis Data (September 2024-August 2025)</w:t>
      </w:r>
    </w:p>
    <w:p w14:paraId="66E3CEA3"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The following section presents a summary of candidate performance (n=6) on Praxis 5412 (Educational Leadership: Administration and Supervision) across the 2024–2025 testing cycle, organized by leadership domain. Overall, the data </w:t>
      </w:r>
      <w:proofErr w:type="gramStart"/>
      <w:r w:rsidRPr="001F6EC3">
        <w:rPr>
          <w:rFonts w:ascii="Times New Roman" w:eastAsia="Times New Roman" w:hAnsi="Times New Roman" w:cs="Times New Roman"/>
          <w:color w:val="auto"/>
          <w:kern w:val="0"/>
          <w:sz w:val="24"/>
          <w14:ligatures w14:val="none"/>
        </w:rPr>
        <w:t>reflect</w:t>
      </w:r>
      <w:proofErr w:type="gramEnd"/>
      <w:r w:rsidRPr="001F6EC3">
        <w:rPr>
          <w:rFonts w:ascii="Times New Roman" w:eastAsia="Times New Roman" w:hAnsi="Times New Roman" w:cs="Times New Roman"/>
          <w:color w:val="auto"/>
          <w:kern w:val="0"/>
          <w:sz w:val="24"/>
          <w14:ligatures w14:val="none"/>
        </w:rPr>
        <w:t xml:space="preserve"> a mixed performance profile. Candidates demonstrate relative strengths in Climate and Cultural Leadership, as well as solid performance in Instructional and Ethical Leadership, with institutional averages generally meeting or exceeding state and national benchmarks in these areas.</w:t>
      </w:r>
    </w:p>
    <w:p w14:paraId="4C7B2E23"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At the same time, performance in Strategic Leadership is slightly below comparative benchmarks, and more pronounced challenges are evident in Organizational Leadership and Community Engagement Leadership, where both average scores and pass rates </w:t>
      </w:r>
      <w:proofErr w:type="gramStart"/>
      <w:r w:rsidRPr="001F6EC3">
        <w:rPr>
          <w:rFonts w:ascii="Times New Roman" w:eastAsia="Times New Roman" w:hAnsi="Times New Roman" w:cs="Times New Roman"/>
          <w:color w:val="auto"/>
          <w:kern w:val="0"/>
          <w:sz w:val="24"/>
          <w14:ligatures w14:val="none"/>
        </w:rPr>
        <w:t>lag behind</w:t>
      </w:r>
      <w:proofErr w:type="gramEnd"/>
      <w:r w:rsidRPr="001F6EC3">
        <w:rPr>
          <w:rFonts w:ascii="Times New Roman" w:eastAsia="Times New Roman" w:hAnsi="Times New Roman" w:cs="Times New Roman"/>
          <w:color w:val="auto"/>
          <w:kern w:val="0"/>
          <w:sz w:val="24"/>
          <w14:ligatures w14:val="none"/>
        </w:rPr>
        <w:t xml:space="preserve"> state and national figures. Across categories, a recurring pattern emerges in which average performance appears competitive, yet pass rates remain low, suggesting variability in candidate outcomes and potential misalignment between program preparation and assessment expectations.</w:t>
      </w:r>
    </w:p>
    <w:p w14:paraId="2CA5D646"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The category-level data that follow should be interpreted with caution due to their limited reliability; however, they provide useful directional insight for identifying program strengths and informing targeted continuous improvement efforts.</w:t>
      </w:r>
    </w:p>
    <w:p w14:paraId="711A01EF"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i/>
          <w:iCs/>
          <w:color w:val="auto"/>
          <w:kern w:val="0"/>
          <w:sz w:val="24"/>
          <w14:ligatures w14:val="none"/>
        </w:rPr>
      </w:pPr>
      <w:r w:rsidRPr="001F6EC3">
        <w:rPr>
          <w:rFonts w:ascii="Times New Roman" w:eastAsia="Times New Roman" w:hAnsi="Times New Roman" w:cs="Times New Roman"/>
          <w:i/>
          <w:iCs/>
          <w:color w:val="auto"/>
          <w:kern w:val="0"/>
          <w:sz w:val="24"/>
          <w14:ligatures w14:val="none"/>
        </w:rPr>
        <w:t>The following sections provide a breakdown of the data per domain:</w:t>
      </w:r>
    </w:p>
    <w:p w14:paraId="0DC92B1C"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I. Strategic Leadership</w:t>
      </w:r>
    </w:p>
    <w:p w14:paraId="79877941"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Performance in this domain reflects moderate alignment with state and national benchmarks. The institutional average (68.70%) is slightly below both the state (69.45%) and national (71.46%) averages. Pass rates are uneven, with a relatively small proportion of candidates </w:t>
      </w:r>
      <w:r w:rsidRPr="001F6EC3">
        <w:rPr>
          <w:rFonts w:ascii="Times New Roman" w:eastAsia="Times New Roman" w:hAnsi="Times New Roman" w:cs="Times New Roman"/>
          <w:color w:val="auto"/>
          <w:kern w:val="0"/>
          <w:sz w:val="24"/>
          <w14:ligatures w14:val="none"/>
        </w:rPr>
        <w:lastRenderedPageBreak/>
        <w:t>meeting the standard at the institutional level. This suggests a potential need for strengthening candidate capacity in systems thinking, long-term planning, and strategic resource alignment.</w:t>
      </w:r>
    </w:p>
    <w:p w14:paraId="5D43B9A2"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II. Instructional Leadership</w:t>
      </w:r>
    </w:p>
    <w:p w14:paraId="0A3561FC"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Institutional performance (71.60%) slightly exceeds both state (69.10%) and national (71.01%) averages, indicating relative strength in this domain. However, pass rates remain low overall, suggesting that while average performance is competitive, score distribution may be inconsistent. This could indicate variability in candidates’ ability to translate instructional leadership theory into applied decision-making.</w:t>
      </w:r>
    </w:p>
    <w:p w14:paraId="3CFCA3C4"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III. Climate and Cultural Leadership</w:t>
      </w:r>
    </w:p>
    <w:p w14:paraId="432357EA"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This represents a clear area of strength. The institutional average (78.37%) substantially exceeds both state (71.99%) and national (74.07%) benchmarks. Additionally, </w:t>
      </w:r>
      <w:proofErr w:type="gramStart"/>
      <w:r w:rsidRPr="001F6EC3">
        <w:rPr>
          <w:rFonts w:ascii="Times New Roman" w:eastAsia="Times New Roman" w:hAnsi="Times New Roman" w:cs="Times New Roman"/>
          <w:color w:val="auto"/>
          <w:kern w:val="0"/>
          <w:sz w:val="24"/>
          <w14:ligatures w14:val="none"/>
        </w:rPr>
        <w:t>the majority of</w:t>
      </w:r>
      <w:proofErr w:type="gramEnd"/>
      <w:r w:rsidRPr="001F6EC3">
        <w:rPr>
          <w:rFonts w:ascii="Times New Roman" w:eastAsia="Times New Roman" w:hAnsi="Times New Roman" w:cs="Times New Roman"/>
          <w:color w:val="auto"/>
          <w:kern w:val="0"/>
          <w:sz w:val="24"/>
          <w14:ligatures w14:val="none"/>
        </w:rPr>
        <w:t xml:space="preserve"> candidates meet the passing standard at the state level. This pattern suggests strong preparation in fostering inclusive school climates, equity-oriented leadership, and stakeholder engagement.</w:t>
      </w:r>
    </w:p>
    <w:p w14:paraId="3DF09150"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IV. Ethical Leadership</w:t>
      </w:r>
    </w:p>
    <w:p w14:paraId="510373B7"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Institutional performance (71.74%) exceeds both state (68.08%) and national (70.63%) averages, indicating solid alignment with expectations in ethical decision-making and professional norms. Pass rates are moderate, with evidence of variability across candidates. Continued emphasis on applied ethics and legal frameworks may further stabilize outcomes.</w:t>
      </w:r>
    </w:p>
    <w:p w14:paraId="0C7B2287"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V. Organizational Leadership</w:t>
      </w:r>
    </w:p>
    <w:p w14:paraId="6D4C9B50" w14:textId="4BD0B5AE"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This domain emerges as a relative weakness. The institutional average (65.73%) falls below both state (68.39%) and national (69.47%) benchmarks. Pass rates are also low, suggesting challenges in areas such as operations management, resource allocation, and organizational systems. This may warrant targeted curricular revision or enhanced clinical practice opportunities.</w:t>
      </w:r>
    </w:p>
    <w:p w14:paraId="2EEF3796"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VI. Community Engagement Leadership</w:t>
      </w:r>
    </w:p>
    <w:p w14:paraId="2A344225"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This is the lowest-performing category. The institutional average (60.26%) is notably below both state (66.79%) and national (68.54%) averages. Pass rates are minimal, indicating a systemic gap in candidates’ preparedness to engage families and communities effectively. This pattern suggests a need for programmatic emphasis on culturally responsive engagement, partnership development, and community-based leadership practices.</w:t>
      </w:r>
    </w:p>
    <w:p w14:paraId="31DA5850" w14:textId="77777777" w:rsidR="006615A3" w:rsidRPr="001F6EC3" w:rsidRDefault="006615A3" w:rsidP="006615A3">
      <w:pPr>
        <w:spacing w:after="0" w:line="240" w:lineRule="auto"/>
        <w:ind w:left="0" w:firstLine="0"/>
        <w:rPr>
          <w:rFonts w:ascii="Times New Roman" w:eastAsia="Times New Roman" w:hAnsi="Times New Roman" w:cs="Times New Roman"/>
          <w:color w:val="auto"/>
          <w:kern w:val="0"/>
          <w:sz w:val="24"/>
          <w14:ligatures w14:val="none"/>
        </w:rPr>
      </w:pPr>
    </w:p>
    <w:p w14:paraId="41559E66" w14:textId="77777777" w:rsidR="00C46C7C" w:rsidRPr="001F6EC3" w:rsidRDefault="00C46C7C" w:rsidP="006615A3">
      <w:pPr>
        <w:spacing w:after="0" w:line="240" w:lineRule="auto"/>
        <w:ind w:left="0" w:firstLine="0"/>
        <w:rPr>
          <w:rFonts w:ascii="Times New Roman" w:eastAsia="Times New Roman" w:hAnsi="Times New Roman" w:cs="Times New Roman"/>
          <w:color w:val="auto"/>
          <w:kern w:val="0"/>
          <w:sz w:val="24"/>
          <w14:ligatures w14:val="none"/>
        </w:rPr>
      </w:pPr>
    </w:p>
    <w:p w14:paraId="075513B8" w14:textId="77777777" w:rsidR="00C46C7C" w:rsidRPr="001F6EC3" w:rsidRDefault="00C46C7C" w:rsidP="006615A3">
      <w:pPr>
        <w:spacing w:after="0" w:line="240" w:lineRule="auto"/>
        <w:ind w:left="0" w:firstLine="0"/>
        <w:rPr>
          <w:rFonts w:ascii="Times New Roman" w:eastAsia="Times New Roman" w:hAnsi="Times New Roman" w:cs="Times New Roman"/>
          <w:color w:val="auto"/>
          <w:kern w:val="0"/>
          <w:sz w:val="24"/>
          <w14:ligatures w14:val="none"/>
        </w:rPr>
      </w:pPr>
    </w:p>
    <w:p w14:paraId="207ACADC"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lastRenderedPageBreak/>
        <w:t>Cross-Category Observations</w:t>
      </w:r>
    </w:p>
    <w:p w14:paraId="21C50C93" w14:textId="77777777" w:rsidR="006615A3" w:rsidRPr="001F6EC3" w:rsidRDefault="006615A3" w:rsidP="006615A3">
      <w:pPr>
        <w:numPr>
          <w:ilvl w:val="0"/>
          <w:numId w:val="1"/>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Strengths: Climate and Cultural Leadership; Instructional Leadership (relative to benchmarks). </w:t>
      </w:r>
    </w:p>
    <w:p w14:paraId="1F803527" w14:textId="77777777" w:rsidR="006615A3" w:rsidRPr="001F6EC3" w:rsidRDefault="006615A3" w:rsidP="006615A3">
      <w:pPr>
        <w:numPr>
          <w:ilvl w:val="0"/>
          <w:numId w:val="1"/>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Moderate Areas: Ethical Leadership; Strategic Leadership. </w:t>
      </w:r>
    </w:p>
    <w:p w14:paraId="1483D32A" w14:textId="77777777" w:rsidR="006615A3" w:rsidRPr="001F6EC3" w:rsidRDefault="006615A3" w:rsidP="006615A3">
      <w:pPr>
        <w:numPr>
          <w:ilvl w:val="0"/>
          <w:numId w:val="1"/>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Areas of Need: Organizational Leadership; Community Engagement Leadership. </w:t>
      </w:r>
    </w:p>
    <w:p w14:paraId="2048BC5D" w14:textId="77777777" w:rsidR="006615A3" w:rsidRPr="001F6EC3" w:rsidRDefault="006615A3" w:rsidP="006615A3">
      <w:pPr>
        <w:numPr>
          <w:ilvl w:val="0"/>
          <w:numId w:val="1"/>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Systemic Pattern: Despite some strong average scores, pass rates remain low across most categories, indicating potential issues with score distribution, candidate variability, or alignment between coursework and assessment demands. </w:t>
      </w:r>
    </w:p>
    <w:p w14:paraId="216F07EA" w14:textId="77777777" w:rsidR="006615A3" w:rsidRPr="001F6EC3" w:rsidRDefault="006615A3" w:rsidP="006615A3">
      <w:pPr>
        <w:spacing w:before="100" w:beforeAutospacing="1" w:after="100" w:afterAutospacing="1" w:line="240" w:lineRule="auto"/>
        <w:ind w:left="0" w:firstLine="0"/>
        <w:outlineLvl w:val="2"/>
        <w:rPr>
          <w:rFonts w:ascii="Times New Roman" w:eastAsia="Times New Roman" w:hAnsi="Times New Roman" w:cs="Times New Roman"/>
          <w:i/>
          <w:iCs/>
          <w:color w:val="auto"/>
          <w:kern w:val="0"/>
          <w:sz w:val="24"/>
          <w14:ligatures w14:val="none"/>
        </w:rPr>
      </w:pPr>
      <w:r w:rsidRPr="001F6EC3">
        <w:rPr>
          <w:rFonts w:ascii="Times New Roman" w:eastAsia="Times New Roman" w:hAnsi="Times New Roman" w:cs="Times New Roman"/>
          <w:i/>
          <w:iCs/>
          <w:color w:val="auto"/>
          <w:kern w:val="0"/>
          <w:sz w:val="24"/>
          <w14:ligatures w14:val="none"/>
        </w:rPr>
        <w:t>Implications for Program Improvement</w:t>
      </w:r>
    </w:p>
    <w:p w14:paraId="3B8F6477" w14:textId="77777777" w:rsidR="006615A3" w:rsidRPr="001F6EC3" w:rsidRDefault="006615A3" w:rsidP="006615A3">
      <w:pPr>
        <w:spacing w:before="100" w:beforeAutospacing="1" w:after="100" w:afterAutospacing="1" w:line="240" w:lineRule="auto"/>
        <w:ind w:left="0" w:firstLine="0"/>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From a continuous improvement perspective, these data suggest:</w:t>
      </w:r>
    </w:p>
    <w:p w14:paraId="070DF583" w14:textId="77777777" w:rsidR="006615A3" w:rsidRPr="001F6EC3" w:rsidRDefault="006615A3" w:rsidP="006615A3">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A need to prioritize community engagement and organizational leadership within coursework and field experiences. </w:t>
      </w:r>
    </w:p>
    <w:p w14:paraId="3D90529F" w14:textId="77777777" w:rsidR="006615A3" w:rsidRPr="001F6EC3" w:rsidRDefault="006615A3" w:rsidP="006615A3">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Potential benefits of performance-based assessments that better approximate Praxis task demands. </w:t>
      </w:r>
    </w:p>
    <w:p w14:paraId="64BE61CB" w14:textId="77777777" w:rsidR="006615A3" w:rsidRPr="001F6EC3" w:rsidRDefault="006615A3" w:rsidP="006615A3">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 xml:space="preserve">Examination of candidate support structures (e.g., test preparation, formative feedback cycles). </w:t>
      </w:r>
    </w:p>
    <w:p w14:paraId="7188C89A" w14:textId="4BA263F6" w:rsidR="006615A3" w:rsidRPr="001F6EC3" w:rsidRDefault="006615A3" w:rsidP="006615A3">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1F6EC3">
        <w:rPr>
          <w:rFonts w:ascii="Times New Roman" w:eastAsia="Times New Roman" w:hAnsi="Times New Roman" w:cs="Times New Roman"/>
          <w:color w:val="auto"/>
          <w:kern w:val="0"/>
          <w:sz w:val="24"/>
          <w14:ligatures w14:val="none"/>
        </w:rPr>
        <w:t>Ongoing triangulation with other program data sources to address the known limitations in category-level reliability noted in the report.</w:t>
      </w:r>
    </w:p>
    <w:p w14:paraId="7DD6F097" w14:textId="77777777" w:rsidR="006615A3" w:rsidRPr="001F6EC3" w:rsidRDefault="006615A3" w:rsidP="006615A3">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p>
    <w:p w14:paraId="2963D8DD" w14:textId="39D8C37F" w:rsidR="006615A3" w:rsidRPr="001F6EC3" w:rsidRDefault="006615A3" w:rsidP="006615A3">
      <w:pPr>
        <w:spacing w:line="278" w:lineRule="auto"/>
        <w:ind w:left="0" w:firstLine="0"/>
        <w:rPr>
          <w:rFonts w:ascii="Times New Roman" w:eastAsiaTheme="minorHAnsi" w:hAnsi="Times New Roman" w:cs="Times New Roman"/>
          <w:b/>
          <w:bCs/>
          <w:color w:val="auto"/>
          <w:sz w:val="24"/>
        </w:rPr>
      </w:pPr>
      <w:r w:rsidRPr="001F6EC3">
        <w:rPr>
          <w:rFonts w:ascii="Times New Roman" w:eastAsiaTheme="minorHAnsi" w:hAnsi="Times New Roman" w:cs="Times New Roman"/>
          <w:b/>
          <w:bCs/>
          <w:color w:val="auto"/>
          <w:sz w:val="24"/>
        </w:rPr>
        <w:t>Additional Assessment Measures</w:t>
      </w:r>
    </w:p>
    <w:p w14:paraId="76836C73" w14:textId="77777777" w:rsidR="006615A3" w:rsidRPr="001F6EC3" w:rsidRDefault="006615A3" w:rsidP="006615A3">
      <w:pPr>
        <w:spacing w:line="278" w:lineRule="auto"/>
        <w:ind w:left="0" w:firstLine="0"/>
        <w:rPr>
          <w:rFonts w:ascii="Times New Roman" w:eastAsiaTheme="minorHAnsi" w:hAnsi="Times New Roman" w:cs="Times New Roman"/>
          <w:color w:val="auto"/>
          <w:sz w:val="24"/>
        </w:rPr>
      </w:pPr>
      <w:r w:rsidRPr="001F6EC3">
        <w:rPr>
          <w:rFonts w:ascii="Times New Roman" w:eastAsiaTheme="minorHAnsi" w:hAnsi="Times New Roman" w:cs="Times New Roman"/>
          <w:color w:val="auto"/>
          <w:sz w:val="24"/>
        </w:rPr>
        <w:t xml:space="preserve">Since program inception, the MEIL has participated in the university Academic Affairs assessment system. </w:t>
      </w:r>
      <w:proofErr w:type="gramStart"/>
      <w:r w:rsidRPr="001F6EC3">
        <w:rPr>
          <w:rFonts w:ascii="Times New Roman" w:eastAsiaTheme="minorHAnsi" w:hAnsi="Times New Roman" w:cs="Times New Roman"/>
          <w:color w:val="auto"/>
          <w:sz w:val="24"/>
        </w:rPr>
        <w:t>Again</w:t>
      </w:r>
      <w:proofErr w:type="gramEnd"/>
      <w:r w:rsidRPr="001F6EC3">
        <w:rPr>
          <w:rFonts w:ascii="Times New Roman" w:eastAsiaTheme="minorHAnsi" w:hAnsi="Times New Roman" w:cs="Times New Roman"/>
          <w:color w:val="auto"/>
          <w:sz w:val="24"/>
        </w:rPr>
        <w:t xml:space="preserve"> for this academic year, the program received all points possible (52/52 for a rating of “Distinguished) and this comment was made: “The MEIL once again, and as always serves as a showcase of assessment for other Graduate Programs at WVSU. It is </w:t>
      </w:r>
      <w:proofErr w:type="gramStart"/>
      <w:r w:rsidRPr="001F6EC3">
        <w:rPr>
          <w:rFonts w:ascii="Times New Roman" w:eastAsiaTheme="minorHAnsi" w:hAnsi="Times New Roman" w:cs="Times New Roman"/>
          <w:color w:val="auto"/>
          <w:sz w:val="24"/>
        </w:rPr>
        <w:t>recommend</w:t>
      </w:r>
      <w:proofErr w:type="gramEnd"/>
      <w:r w:rsidRPr="001F6EC3">
        <w:rPr>
          <w:rFonts w:ascii="Times New Roman" w:eastAsiaTheme="minorHAnsi" w:hAnsi="Times New Roman" w:cs="Times New Roman"/>
          <w:color w:val="auto"/>
          <w:sz w:val="24"/>
        </w:rPr>
        <w:t xml:space="preserve"> </w:t>
      </w:r>
      <w:proofErr w:type="gramStart"/>
      <w:r w:rsidRPr="001F6EC3">
        <w:rPr>
          <w:rFonts w:ascii="Times New Roman" w:eastAsiaTheme="minorHAnsi" w:hAnsi="Times New Roman" w:cs="Times New Roman"/>
          <w:color w:val="auto"/>
          <w:sz w:val="24"/>
        </w:rPr>
        <w:t>to continue</w:t>
      </w:r>
      <w:proofErr w:type="gramEnd"/>
      <w:r w:rsidRPr="001F6EC3">
        <w:rPr>
          <w:rFonts w:ascii="Times New Roman" w:eastAsiaTheme="minorHAnsi" w:hAnsi="Times New Roman" w:cs="Times New Roman"/>
          <w:color w:val="auto"/>
          <w:sz w:val="24"/>
        </w:rPr>
        <w:t xml:space="preserve"> the current track of assessment creation, administration, analysis and reporting.</w:t>
      </w:r>
    </w:p>
    <w:p w14:paraId="1934F16F" w14:textId="63B84019" w:rsidR="006615A3" w:rsidRPr="001F6EC3" w:rsidRDefault="006615A3" w:rsidP="006615A3">
      <w:pPr>
        <w:spacing w:line="278" w:lineRule="auto"/>
        <w:ind w:left="0" w:firstLine="0"/>
        <w:rPr>
          <w:rFonts w:ascii="Times New Roman" w:eastAsiaTheme="minorHAnsi" w:hAnsi="Times New Roman" w:cs="Times New Roman"/>
          <w:color w:val="auto"/>
          <w:sz w:val="24"/>
        </w:rPr>
      </w:pPr>
      <w:r w:rsidRPr="001F6EC3">
        <w:rPr>
          <w:rFonts w:ascii="Times New Roman" w:eastAsiaTheme="minorHAnsi" w:hAnsi="Times New Roman" w:cs="Times New Roman"/>
          <w:color w:val="auto"/>
          <w:sz w:val="24"/>
        </w:rPr>
        <w:t>Further, the program prioritized assessment and continuous improvement initiatives during the current academic year and intends to sustain this focus in subsequent cycles. Ongoing progress was made in refining and implementing the assessment plan, informed by systematic input from key stakeholders, including faculty and candidates. Program Goals and Outcomes (PLOs) function as the central framework guiding programmatic improvement efforts. These goals and outcomes are aligned with specialty standards and are expected to enhance content coherence while strengthening the rigor and clarity of assessment reporting practices.</w:t>
      </w:r>
    </w:p>
    <w:p w14:paraId="25D62535" w14:textId="77777777" w:rsidR="00A67BA0" w:rsidRPr="001F6EC3" w:rsidRDefault="00A67BA0" w:rsidP="00A67BA0">
      <w:pPr>
        <w:spacing w:after="0" w:line="259" w:lineRule="auto"/>
        <w:ind w:left="0" w:firstLine="0"/>
        <w:rPr>
          <w:rFonts w:asciiTheme="minorHAnsi" w:eastAsiaTheme="minorHAnsi" w:hAnsiTheme="minorHAnsi" w:cstheme="minorBidi"/>
          <w:color w:val="auto"/>
          <w:kern w:val="0"/>
          <w:sz w:val="24"/>
          <w:highlight w:val="yellow"/>
          <w14:ligatures w14:val="none"/>
        </w:rPr>
      </w:pPr>
    </w:p>
    <w:p w14:paraId="3F117657" w14:textId="77777777" w:rsidR="00A67BA0" w:rsidRPr="001F6EC3" w:rsidRDefault="00A67BA0" w:rsidP="00A67BA0">
      <w:pPr>
        <w:spacing w:after="0" w:line="259" w:lineRule="auto"/>
        <w:ind w:left="0" w:firstLine="0"/>
        <w:rPr>
          <w:rFonts w:asciiTheme="minorHAnsi" w:eastAsiaTheme="minorHAnsi" w:hAnsiTheme="minorHAnsi" w:cstheme="minorBidi"/>
          <w:color w:val="auto"/>
          <w:kern w:val="0"/>
          <w:sz w:val="24"/>
          <w:highlight w:val="yellow"/>
          <w14:ligatures w14:val="none"/>
        </w:rPr>
      </w:pPr>
    </w:p>
    <w:p w14:paraId="1BF5BBC1" w14:textId="77777777" w:rsidR="00A67BA0" w:rsidRPr="001F6EC3" w:rsidRDefault="00A67BA0" w:rsidP="00A67BA0">
      <w:pPr>
        <w:spacing w:after="0" w:line="259" w:lineRule="auto"/>
        <w:ind w:left="0" w:firstLine="0"/>
        <w:rPr>
          <w:rFonts w:asciiTheme="minorHAnsi" w:eastAsiaTheme="minorHAnsi" w:hAnsiTheme="minorHAnsi" w:cstheme="minorBidi"/>
          <w:color w:val="auto"/>
          <w:kern w:val="0"/>
          <w:sz w:val="24"/>
          <w:highlight w:val="yellow"/>
          <w14:ligatures w14:val="none"/>
        </w:rPr>
      </w:pPr>
    </w:p>
    <w:p w14:paraId="3D308DEA" w14:textId="77777777" w:rsidR="00A67BA0" w:rsidRPr="001F6EC3" w:rsidRDefault="00A67BA0" w:rsidP="00A67BA0">
      <w:pPr>
        <w:spacing w:line="259" w:lineRule="auto"/>
        <w:ind w:left="0" w:firstLine="0"/>
        <w:rPr>
          <w:rFonts w:asciiTheme="minorHAnsi" w:eastAsiaTheme="minorHAnsi" w:hAnsiTheme="minorHAnsi" w:cstheme="minorBidi"/>
          <w:color w:val="auto"/>
          <w:kern w:val="0"/>
          <w:sz w:val="24"/>
          <w:highlight w:val="yellow"/>
          <w14:ligatures w14:val="none"/>
        </w:rPr>
      </w:pPr>
    </w:p>
    <w:p w14:paraId="0AC129B2" w14:textId="77777777" w:rsidR="00A67BA0" w:rsidRPr="001F6EC3" w:rsidRDefault="00A67BA0" w:rsidP="00A67BA0">
      <w:pPr>
        <w:spacing w:line="259" w:lineRule="auto"/>
        <w:ind w:left="0" w:firstLine="0"/>
        <w:rPr>
          <w:rFonts w:asciiTheme="minorHAnsi" w:eastAsiaTheme="minorHAnsi" w:hAnsiTheme="minorHAnsi" w:cstheme="minorBidi"/>
          <w:color w:val="auto"/>
          <w:kern w:val="0"/>
          <w:sz w:val="24"/>
          <w:highlight w:val="yellow"/>
          <w14:ligatures w14:val="none"/>
        </w:rPr>
      </w:pPr>
    </w:p>
    <w:p w14:paraId="039F2975" w14:textId="2F69436B" w:rsidR="007C5FAA" w:rsidRPr="001F6EC3" w:rsidRDefault="007C5FAA">
      <w:pPr>
        <w:spacing w:after="0" w:line="259" w:lineRule="auto"/>
        <w:ind w:left="0" w:firstLine="0"/>
        <w:rPr>
          <w:sz w:val="24"/>
          <w:highlight w:val="yellow"/>
        </w:rPr>
      </w:pPr>
    </w:p>
    <w:p w14:paraId="26C2DFF7" w14:textId="77777777" w:rsidR="007C5FAA" w:rsidRPr="001F6EC3" w:rsidRDefault="004D57A2">
      <w:pPr>
        <w:spacing w:after="0" w:line="259" w:lineRule="auto"/>
        <w:ind w:left="0" w:firstLine="0"/>
        <w:rPr>
          <w:sz w:val="24"/>
        </w:rPr>
      </w:pPr>
      <w:r w:rsidRPr="001F6EC3">
        <w:rPr>
          <w:sz w:val="24"/>
        </w:rPr>
        <w:t xml:space="preserve"> </w:t>
      </w:r>
    </w:p>
    <w:sectPr w:rsidR="007C5FAA" w:rsidRPr="001F6EC3">
      <w:pgSz w:w="12240" w:h="15840"/>
      <w:pgMar w:top="1481" w:right="1480" w:bottom="175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659B9"/>
    <w:multiLevelType w:val="multilevel"/>
    <w:tmpl w:val="94FE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E38B2"/>
    <w:multiLevelType w:val="multilevel"/>
    <w:tmpl w:val="A8B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311691">
    <w:abstractNumId w:val="0"/>
  </w:num>
  <w:num w:numId="2" w16cid:durableId="31260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FAA"/>
    <w:rsid w:val="001670CE"/>
    <w:rsid w:val="001F6EC3"/>
    <w:rsid w:val="00324532"/>
    <w:rsid w:val="004D57A2"/>
    <w:rsid w:val="00524BEA"/>
    <w:rsid w:val="005A1256"/>
    <w:rsid w:val="006615A3"/>
    <w:rsid w:val="007362C0"/>
    <w:rsid w:val="007C5FAA"/>
    <w:rsid w:val="009B4A40"/>
    <w:rsid w:val="00A67BA0"/>
    <w:rsid w:val="00AA0311"/>
    <w:rsid w:val="00AB4E46"/>
    <w:rsid w:val="00B9382B"/>
    <w:rsid w:val="00C46C7C"/>
    <w:rsid w:val="00F5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A3E5"/>
  <w15:docId w15:val="{D800E42B-3BD7-41C5-BC90-6044C9F0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49"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15A3"/>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1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6141</Characters>
  <Application>Microsoft Office Word</Application>
  <DocSecurity>0</DocSecurity>
  <Lines>165</Lines>
  <Paragraphs>138</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Waugh</dc:creator>
  <cp:keywords/>
  <cp:lastModifiedBy>Emily Waugh</cp:lastModifiedBy>
  <cp:revision>2</cp:revision>
  <dcterms:created xsi:type="dcterms:W3CDTF">2026-05-01T11:14:00Z</dcterms:created>
  <dcterms:modified xsi:type="dcterms:W3CDTF">2026-05-01T11:14:00Z</dcterms:modified>
</cp:coreProperties>
</file>